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3C50" w14:textId="77777777" w:rsidR="00021847" w:rsidRPr="005E3077" w:rsidRDefault="00021847" w:rsidP="00021847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5E3077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Procédure </w:t>
      </w:r>
      <w:bookmarkStart w:id="0" w:name="_Hlk109750484"/>
      <w:r w:rsidRPr="005E3077">
        <w:rPr>
          <w:rFonts w:ascii="Calibri" w:hAnsi="Calibri" w:cs="Calibri"/>
          <w:b/>
          <w:bCs/>
          <w:color w:val="000000" w:themeColor="text1"/>
          <w:sz w:val="32"/>
          <w:szCs w:val="32"/>
        </w:rPr>
        <w:t>de signalement et de traitement de faits</w:t>
      </w:r>
    </w:p>
    <w:p w14:paraId="63978DD8" w14:textId="77777777" w:rsidR="00021847" w:rsidRPr="005E3077" w:rsidRDefault="00021847" w:rsidP="00021847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proofErr w:type="gramStart"/>
      <w:r w:rsidRPr="005E3077">
        <w:rPr>
          <w:rFonts w:ascii="Calibri" w:hAnsi="Calibri" w:cs="Calibri"/>
          <w:b/>
          <w:bCs/>
          <w:color w:val="000000" w:themeColor="text1"/>
          <w:sz w:val="32"/>
          <w:szCs w:val="32"/>
        </w:rPr>
        <w:t>pouvant</w:t>
      </w:r>
      <w:proofErr w:type="gramEnd"/>
      <w:r w:rsidRPr="005E3077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relever des violences et du harcèlement sexistes et sexuels</w:t>
      </w:r>
    </w:p>
    <w:bookmarkEnd w:id="0"/>
    <w:p w14:paraId="48298DEE" w14:textId="77777777" w:rsidR="00021847" w:rsidRPr="005E3077" w:rsidRDefault="00021847" w:rsidP="00021847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D36C3F7" w14:textId="3DC73C34" w:rsidR="00021847" w:rsidRPr="005E3077" w:rsidRDefault="00021847" w:rsidP="00021847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1F5D69B0" w14:textId="77777777" w:rsidR="00021847" w:rsidRPr="005E3077" w:rsidRDefault="00021847" w:rsidP="00021847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3908D923" w14:textId="77777777" w:rsidR="00021847" w:rsidRPr="005E3077" w:rsidRDefault="00021847" w:rsidP="00021847">
      <w:pPr>
        <w:suppressAutoHyphens w:val="0"/>
        <w:spacing w:after="160" w:line="259" w:lineRule="auto"/>
        <w:contextualSpacing/>
        <w:rPr>
          <w:rFonts w:ascii="Calibri" w:eastAsia="Calibri" w:hAnsi="Calibri"/>
          <w:b/>
          <w:bCs/>
          <w:color w:val="000000" w:themeColor="text1"/>
          <w:sz w:val="28"/>
          <w:szCs w:val="28"/>
          <w:lang w:eastAsia="en-US"/>
        </w:rPr>
      </w:pPr>
      <w:r w:rsidRPr="005E3077">
        <w:rPr>
          <w:rFonts w:ascii="Calibri" w:eastAsia="Calibri" w:hAnsi="Calibri"/>
          <w:b/>
          <w:bCs/>
          <w:color w:val="000000" w:themeColor="text1"/>
          <w:sz w:val="28"/>
          <w:szCs w:val="28"/>
          <w:lang w:eastAsia="en-US"/>
        </w:rPr>
        <w:t>Schéma simplifié de la procédure</w:t>
      </w:r>
    </w:p>
    <w:p w14:paraId="237ED7AD" w14:textId="459703E0" w:rsidR="00021847" w:rsidRPr="005E3077" w:rsidRDefault="00021847" w:rsidP="00021847">
      <w:pPr>
        <w:suppressAutoHyphens w:val="0"/>
        <w:spacing w:after="160" w:line="259" w:lineRule="auto"/>
        <w:contextualSpacing/>
        <w:rPr>
          <w:rFonts w:ascii="Calibri" w:eastAsia="Calibri" w:hAnsi="Calibri"/>
          <w:b/>
          <w:bCs/>
          <w:color w:val="000000" w:themeColor="text1"/>
          <w:sz w:val="28"/>
          <w:szCs w:val="28"/>
          <w:lang w:eastAsia="en-US"/>
        </w:rPr>
      </w:pPr>
    </w:p>
    <w:p w14:paraId="5424D805" w14:textId="53A5BE7C" w:rsidR="00021847" w:rsidRPr="005E3077" w:rsidRDefault="00021847" w:rsidP="00021847">
      <w:pPr>
        <w:suppressAutoHyphens w:val="0"/>
        <w:spacing w:after="160" w:line="259" w:lineRule="auto"/>
        <w:jc w:val="center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noProof/>
          <w:color w:val="000000" w:themeColor="text1"/>
        </w:rPr>
        <w:drawing>
          <wp:inline distT="0" distB="0" distL="0" distR="0" wp14:anchorId="2920DC93" wp14:editId="53ADF53B">
            <wp:extent cx="5507355" cy="13506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491" b="-20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3CFA" w14:textId="77777777" w:rsidR="00021847" w:rsidRPr="005E3077" w:rsidRDefault="00021847" w:rsidP="00021847">
      <w:pPr>
        <w:suppressAutoHyphens w:val="0"/>
        <w:spacing w:after="160" w:line="259" w:lineRule="auto"/>
        <w:contextualSpacing/>
        <w:rPr>
          <w:rFonts w:ascii="Calibri" w:eastAsia="Calibri" w:hAnsi="Calibri"/>
          <w:b/>
          <w:bCs/>
          <w:color w:val="000000" w:themeColor="text1"/>
          <w:sz w:val="28"/>
          <w:szCs w:val="28"/>
          <w:lang w:eastAsia="en-US"/>
        </w:rPr>
      </w:pPr>
    </w:p>
    <w:p w14:paraId="24801F4B" w14:textId="5DAC53C3" w:rsidR="00021847" w:rsidRPr="005E3077" w:rsidRDefault="00021847" w:rsidP="00021847">
      <w:pPr>
        <w:suppressAutoHyphens w:val="0"/>
        <w:spacing w:after="160" w:line="259" w:lineRule="auto"/>
        <w:contextualSpacing/>
        <w:rPr>
          <w:rFonts w:ascii="Calibri" w:eastAsia="Calibri" w:hAnsi="Calibri"/>
          <w:b/>
          <w:bCs/>
          <w:color w:val="000000" w:themeColor="text1"/>
          <w:sz w:val="28"/>
          <w:szCs w:val="28"/>
          <w:lang w:eastAsia="en-US"/>
        </w:rPr>
      </w:pPr>
      <w:r w:rsidRPr="005E3077">
        <w:rPr>
          <w:rFonts w:ascii="Calibri" w:eastAsia="Calibri" w:hAnsi="Calibri"/>
          <w:b/>
          <w:bCs/>
          <w:color w:val="000000" w:themeColor="text1"/>
          <w:sz w:val="28"/>
          <w:szCs w:val="28"/>
          <w:lang w:eastAsia="en-US"/>
        </w:rPr>
        <w:t xml:space="preserve">La procédure détaillée </w:t>
      </w:r>
    </w:p>
    <w:p w14:paraId="623D542A" w14:textId="77777777" w:rsidR="00021847" w:rsidRPr="005E3077" w:rsidRDefault="00021847" w:rsidP="00021847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65D2B9E1" w14:textId="77777777" w:rsidR="00021847" w:rsidRPr="005E3077" w:rsidRDefault="00021847" w:rsidP="00021847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La procédure ci-après décrit :</w:t>
      </w:r>
    </w:p>
    <w:p w14:paraId="6031D8C9" w14:textId="77777777" w:rsidR="00021847" w:rsidRPr="005E3077" w:rsidRDefault="00021847" w:rsidP="00021847">
      <w:pPr>
        <w:numPr>
          <w:ilvl w:val="0"/>
          <w:numId w:val="4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proofErr w:type="gramStart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les</w:t>
      </w:r>
      <w:proofErr w:type="gramEnd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modalités de réception d’une alerte,</w:t>
      </w:r>
    </w:p>
    <w:p w14:paraId="73566E02" w14:textId="77777777" w:rsidR="00021847" w:rsidRPr="005E3077" w:rsidRDefault="00021847" w:rsidP="00021847">
      <w:pPr>
        <w:numPr>
          <w:ilvl w:val="0"/>
          <w:numId w:val="4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proofErr w:type="gramStart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les</w:t>
      </w:r>
      <w:proofErr w:type="gramEnd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mesures à prendre pour mettre un terme aux agissements inappropriés,</w:t>
      </w:r>
    </w:p>
    <w:p w14:paraId="55C73E82" w14:textId="1B527674" w:rsidR="00021847" w:rsidRPr="005E3077" w:rsidRDefault="00021847" w:rsidP="00021847">
      <w:pPr>
        <w:numPr>
          <w:ilvl w:val="0"/>
          <w:numId w:val="4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proofErr w:type="gramStart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la</w:t>
      </w:r>
      <w:proofErr w:type="gramEnd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procédure d’enquête avec les conséquences à en tirer pour chaque conclusion possible</w:t>
      </w:r>
    </w:p>
    <w:p w14:paraId="57B5DDC3" w14:textId="77777777" w:rsidR="00021847" w:rsidRPr="005E3077" w:rsidRDefault="00021847" w:rsidP="00021847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096830" w14:textId="77777777" w:rsidR="00021847" w:rsidRPr="005E3077" w:rsidRDefault="00021847" w:rsidP="00021847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Elle comprend 5 étapes : </w:t>
      </w:r>
    </w:p>
    <w:p w14:paraId="3EEEFE49" w14:textId="77777777" w:rsidR="00021847" w:rsidRPr="005E3077" w:rsidRDefault="00021847" w:rsidP="00021847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19E124E" w14:textId="77777777" w:rsidR="00021847" w:rsidRPr="005E3077" w:rsidRDefault="00021847" w:rsidP="00021847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Calibri" w:eastAsia="Calibri" w:hAnsi="Calibri"/>
          <w:b/>
          <w:bCs/>
          <w:color w:val="000000" w:themeColor="text1"/>
          <w:szCs w:val="24"/>
          <w:lang w:eastAsia="en-US"/>
        </w:rPr>
      </w:pPr>
      <w:r w:rsidRPr="005E3077">
        <w:rPr>
          <w:rFonts w:ascii="Calibri" w:eastAsia="Calibri" w:hAnsi="Calibri"/>
          <w:b/>
          <w:bCs/>
          <w:color w:val="000000" w:themeColor="text1"/>
          <w:szCs w:val="24"/>
          <w:lang w:eastAsia="en-US"/>
        </w:rPr>
        <w:t>Recevoir le signalement</w:t>
      </w:r>
    </w:p>
    <w:p w14:paraId="583127BB" w14:textId="77777777" w:rsidR="00021847" w:rsidRPr="005E3077" w:rsidRDefault="00021847" w:rsidP="00021847">
      <w:pPr>
        <w:suppressAutoHyphens w:val="0"/>
        <w:spacing w:after="160" w:line="259" w:lineRule="auto"/>
        <w:contextualSpacing/>
        <w:rPr>
          <w:rFonts w:ascii="Calibri" w:eastAsia="Calibri" w:hAnsi="Calibri"/>
          <w:b/>
          <w:bCs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077" w:rsidRPr="005E3077" w14:paraId="00CA8D8E" w14:textId="77777777" w:rsidTr="004361BB">
        <w:tc>
          <w:tcPr>
            <w:tcW w:w="9062" w:type="dxa"/>
            <w:gridSpan w:val="2"/>
            <w:shd w:val="clear" w:color="auto" w:fill="auto"/>
          </w:tcPr>
          <w:p w14:paraId="70CE1243" w14:textId="77777777" w:rsidR="00021847" w:rsidRPr="005E3077" w:rsidRDefault="00021847" w:rsidP="004361BB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En cas de signalement par :</w:t>
            </w:r>
          </w:p>
          <w:p w14:paraId="2C9F92AC" w14:textId="77777777" w:rsidR="00021847" w:rsidRPr="005E3077" w:rsidRDefault="00021847" w:rsidP="004361BB">
            <w:pPr>
              <w:suppressAutoHyphens w:val="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E3077" w:rsidRPr="005E3077" w14:paraId="3A169723" w14:textId="77777777" w:rsidTr="004361BB">
        <w:tc>
          <w:tcPr>
            <w:tcW w:w="4531" w:type="dxa"/>
            <w:shd w:val="clear" w:color="auto" w:fill="auto"/>
          </w:tcPr>
          <w:p w14:paraId="75A5357B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Une personne qui s’estime victime</w:t>
            </w:r>
          </w:p>
          <w:p w14:paraId="5E01B907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Un·e</w:t>
            </w:r>
            <w:proofErr w:type="spellEnd"/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témoin </w:t>
            </w:r>
            <w:proofErr w:type="gramStart"/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ou</w:t>
            </w:r>
            <w:proofErr w:type="gramEnd"/>
          </w:p>
          <w:p w14:paraId="032424FA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Un·e</w:t>
            </w:r>
            <w:proofErr w:type="spellEnd"/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confident·e</w:t>
            </w:r>
            <w:proofErr w:type="spellEnd"/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CAB3FB9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70B858D3" w14:textId="77777777" w:rsidR="00021847" w:rsidRPr="005E3077" w:rsidRDefault="00021847" w:rsidP="004361BB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6B348578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Le </w:t>
            </w:r>
            <w:proofErr w:type="spellStart"/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représentant·e</w:t>
            </w:r>
            <w:proofErr w:type="spellEnd"/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du personnel</w:t>
            </w:r>
          </w:p>
          <w:p w14:paraId="58F13F4F" w14:textId="77777777" w:rsidR="00021847" w:rsidRPr="005E3077" w:rsidRDefault="00021847" w:rsidP="004361BB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E3077" w:rsidRPr="005E3077" w14:paraId="0687AA14" w14:textId="77777777" w:rsidTr="004361BB">
        <w:tc>
          <w:tcPr>
            <w:tcW w:w="4531" w:type="dxa"/>
            <w:shd w:val="clear" w:color="auto" w:fill="auto"/>
          </w:tcPr>
          <w:p w14:paraId="0FB0E09A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Signalement peut intervenir sous forme écrite ou orale </w:t>
            </w:r>
          </w:p>
          <w:p w14:paraId="0FA520FB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4CEEF707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Mettre en œuvre sans délai une enquête conjointe (Cf. étape 3)</w:t>
            </w:r>
          </w:p>
        </w:tc>
      </w:tr>
      <w:tr w:rsidR="005E3077" w:rsidRPr="005E3077" w14:paraId="151F1483" w14:textId="77777777" w:rsidTr="004361BB">
        <w:tc>
          <w:tcPr>
            <w:tcW w:w="4531" w:type="dxa"/>
            <w:shd w:val="clear" w:color="auto" w:fill="auto"/>
          </w:tcPr>
          <w:p w14:paraId="1D946F46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Auprès de xxx (nom, prénom, fonction), responsable des ressources humaines, qui en accuse réception par courrier et confirme qu’il a bien été pris en compte.</w:t>
            </w:r>
          </w:p>
          <w:p w14:paraId="627D9822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07424A0A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E3077" w:rsidRPr="005E3077" w14:paraId="7CAC139A" w14:textId="77777777" w:rsidTr="004361BB">
        <w:tc>
          <w:tcPr>
            <w:tcW w:w="4531" w:type="dxa"/>
            <w:shd w:val="clear" w:color="auto" w:fill="auto"/>
          </w:tcPr>
          <w:p w14:paraId="6462A5E0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Organisation d’un premier entretien avec </w:t>
            </w:r>
            <w:proofErr w:type="gram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l’</w:t>
            </w:r>
            <w:proofErr w:type="spell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auteur.trice</w:t>
            </w:r>
            <w:proofErr w:type="spellEnd"/>
            <w:proofErr w:type="gramEnd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du signalement afin d’obtenir des précisions sur les faits signalés</w:t>
            </w:r>
          </w:p>
          <w:p w14:paraId="37827CBC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23F80387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E3077" w:rsidRPr="005E3077" w14:paraId="44CB3061" w14:textId="77777777" w:rsidTr="004361BB">
        <w:tc>
          <w:tcPr>
            <w:tcW w:w="4531" w:type="dxa"/>
            <w:shd w:val="clear" w:color="auto" w:fill="auto"/>
          </w:tcPr>
          <w:p w14:paraId="7078F8AC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Rédaction d’un compte rendu et validation de celui-ci par la ou les personnes entendues</w:t>
            </w:r>
          </w:p>
          <w:p w14:paraId="6BE8D6E4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5E88E522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0AAA102C" w14:textId="278904ED" w:rsidR="005F0CA8" w:rsidRPr="005F0CA8" w:rsidRDefault="005F0CA8" w:rsidP="005F0CA8">
      <w:pPr>
        <w:suppressAutoHyphens w:val="0"/>
        <w:spacing w:after="160" w:line="259" w:lineRule="auto"/>
        <w:jc w:val="both"/>
        <w:rPr>
          <w:rFonts w:ascii="Calibri" w:eastAsia="Calibri" w:hAnsi="Calibri"/>
          <w:color w:val="000000" w:themeColor="text1"/>
          <w:szCs w:val="24"/>
          <w:lang w:eastAsia="en-US"/>
        </w:rPr>
      </w:pPr>
      <w:r w:rsidRPr="005F0CA8">
        <w:rPr>
          <w:rFonts w:ascii="Calibri" w:eastAsia="Calibri" w:hAnsi="Calibri"/>
          <w:color w:val="000000" w:themeColor="text1"/>
          <w:szCs w:val="24"/>
          <w:lang w:eastAsia="en-US"/>
        </w:rPr>
        <w:lastRenderedPageBreak/>
        <w:t xml:space="preserve">Conformément à l’article </w:t>
      </w:r>
      <w:hyperlink r:id="rId6" w:history="1">
        <w:r w:rsidRPr="00CE2B2A">
          <w:rPr>
            <w:rStyle w:val="Lienhypertexte"/>
            <w:rFonts w:ascii="Calibri" w:eastAsia="Calibri" w:hAnsi="Calibri"/>
            <w:szCs w:val="24"/>
            <w:lang w:eastAsia="en-US"/>
          </w:rPr>
          <w:t>L. 1153-2</w:t>
        </w:r>
      </w:hyperlink>
      <w:r w:rsidRPr="005F0CA8">
        <w:rPr>
          <w:rFonts w:ascii="Calibri" w:eastAsia="Calibri" w:hAnsi="Calibri"/>
          <w:color w:val="000000" w:themeColor="text1"/>
          <w:szCs w:val="24"/>
          <w:lang w:eastAsia="en-US"/>
        </w:rPr>
        <w:t xml:space="preserve"> du Code du travail, aucune personne ayant subi ou refusé de subir des faits de harcèlement sexuel définis à l'article </w:t>
      </w:r>
      <w:hyperlink r:id="rId7" w:anchor=":~:text=Dans%20toute%20entreprise%20employant%20au,sexuel%20et%20les%20agissements%20sexistes." w:history="1">
        <w:r w:rsidRPr="00CE2B2A">
          <w:rPr>
            <w:rStyle w:val="Lienhypertexte"/>
            <w:rFonts w:ascii="Calibri" w:eastAsia="Calibri" w:hAnsi="Calibri"/>
            <w:szCs w:val="24"/>
            <w:lang w:eastAsia="en-US"/>
          </w:rPr>
          <w:t>L. 1153-1</w:t>
        </w:r>
      </w:hyperlink>
      <w:r w:rsidRPr="005F0CA8">
        <w:rPr>
          <w:rFonts w:ascii="Calibri" w:eastAsia="Calibri" w:hAnsi="Calibri"/>
          <w:color w:val="000000" w:themeColor="text1"/>
          <w:szCs w:val="24"/>
          <w:lang w:eastAsia="en-US"/>
        </w:rPr>
        <w:t xml:space="preserve">, y compris, dans le cas mentionné au 1° du même article L. 1153-1, si les propos ou comportements n'ont pas été répétés, ou ayant, de bonne foi, témoigné de faits de harcèlement sexuel ou relaté de tels faits </w:t>
      </w:r>
      <w:r w:rsidR="00CE2B2A" w:rsidRPr="00CE2B2A">
        <w:rPr>
          <w:rFonts w:ascii="Calibri" w:eastAsia="Calibri" w:hAnsi="Calibri"/>
          <w:color w:val="000000" w:themeColor="text1"/>
          <w:szCs w:val="24"/>
          <w:lang w:eastAsia="en-US"/>
        </w:rPr>
        <w:t xml:space="preserve">ne peuvent être sanctionnées </w:t>
      </w:r>
      <w:r w:rsidR="00CE2B2A">
        <w:rPr>
          <w:rFonts w:ascii="Calibri" w:eastAsia="Calibri" w:hAnsi="Calibri"/>
          <w:color w:val="000000" w:themeColor="text1"/>
          <w:szCs w:val="24"/>
          <w:lang w:eastAsia="en-US"/>
        </w:rPr>
        <w:t>ni</w:t>
      </w:r>
      <w:r w:rsidR="00CE2B2A" w:rsidRPr="00CE2B2A">
        <w:rPr>
          <w:rFonts w:ascii="Calibri" w:eastAsia="Calibri" w:hAnsi="Calibri"/>
          <w:color w:val="000000" w:themeColor="text1"/>
          <w:szCs w:val="24"/>
          <w:lang w:eastAsia="en-US"/>
        </w:rPr>
        <w:t xml:space="preserve"> faire l’objet de mesures discriminatoires </w:t>
      </w:r>
      <w:r w:rsidRPr="005F0CA8">
        <w:rPr>
          <w:rFonts w:ascii="Calibri" w:eastAsia="Calibri" w:hAnsi="Calibri"/>
          <w:color w:val="000000" w:themeColor="text1"/>
          <w:szCs w:val="24"/>
          <w:lang w:eastAsia="en-US"/>
        </w:rPr>
        <w:t xml:space="preserve">mentionnées à l'article </w:t>
      </w:r>
      <w:hyperlink r:id="rId8" w:history="1">
        <w:r w:rsidRPr="00CE2B2A">
          <w:rPr>
            <w:rStyle w:val="Lienhypertexte"/>
            <w:rFonts w:ascii="Calibri" w:eastAsia="Calibri" w:hAnsi="Calibri"/>
            <w:szCs w:val="24"/>
            <w:lang w:eastAsia="en-US"/>
          </w:rPr>
          <w:t>L. 1121-2</w:t>
        </w:r>
      </w:hyperlink>
      <w:r w:rsidRPr="005F0CA8">
        <w:rPr>
          <w:rFonts w:ascii="Calibri" w:eastAsia="Calibri" w:hAnsi="Calibri"/>
          <w:color w:val="000000" w:themeColor="text1"/>
          <w:szCs w:val="24"/>
          <w:lang w:eastAsia="en-US"/>
        </w:rPr>
        <w:t>.</w:t>
      </w:r>
    </w:p>
    <w:p w14:paraId="737D573E" w14:textId="4F04E25D" w:rsidR="00021847" w:rsidRPr="005E3077" w:rsidRDefault="00021847" w:rsidP="00021847">
      <w:pPr>
        <w:numPr>
          <w:ilvl w:val="0"/>
          <w:numId w:val="1"/>
        </w:numPr>
        <w:suppressAutoHyphens w:val="0"/>
        <w:spacing w:after="160" w:line="259" w:lineRule="auto"/>
        <w:rPr>
          <w:rFonts w:ascii="Calibri" w:eastAsia="Calibri" w:hAnsi="Calibri"/>
          <w:b/>
          <w:bCs/>
          <w:color w:val="000000" w:themeColor="text1"/>
          <w:szCs w:val="24"/>
          <w:lang w:eastAsia="en-US"/>
        </w:rPr>
      </w:pPr>
      <w:r w:rsidRPr="005E3077">
        <w:rPr>
          <w:rFonts w:ascii="Calibri" w:eastAsia="Calibri" w:hAnsi="Calibri"/>
          <w:b/>
          <w:bCs/>
          <w:color w:val="000000" w:themeColor="text1"/>
          <w:szCs w:val="24"/>
          <w:lang w:eastAsia="en-US"/>
        </w:rPr>
        <w:t>Procéder à une première analyse des faits signalés</w:t>
      </w:r>
    </w:p>
    <w:p w14:paraId="2A88D1A6" w14:textId="77777777" w:rsidR="00021847" w:rsidRPr="005E3077" w:rsidRDefault="00021847" w:rsidP="00021847">
      <w:pPr>
        <w:suppressAutoHyphens w:val="0"/>
        <w:spacing w:after="160" w:line="259" w:lineRule="auto"/>
        <w:contextualSpacing/>
        <w:rPr>
          <w:rFonts w:ascii="Calibri" w:eastAsia="Calibri" w:hAnsi="Calibri"/>
          <w:b/>
          <w:bCs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101"/>
        <w:gridCol w:w="2385"/>
        <w:gridCol w:w="2997"/>
      </w:tblGrid>
      <w:tr w:rsidR="005E3077" w:rsidRPr="005E3077" w14:paraId="29037BC9" w14:textId="77777777" w:rsidTr="004361BB">
        <w:tc>
          <w:tcPr>
            <w:tcW w:w="0" w:type="auto"/>
            <w:gridSpan w:val="4"/>
            <w:shd w:val="clear" w:color="auto" w:fill="auto"/>
          </w:tcPr>
          <w:p w14:paraId="5DDF84FA" w14:textId="77777777" w:rsidR="00021847" w:rsidRPr="005E3077" w:rsidRDefault="00021847" w:rsidP="004361BB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Les éléments apportés :</w:t>
            </w:r>
          </w:p>
          <w:p w14:paraId="62FD4316" w14:textId="77777777" w:rsidR="00021847" w:rsidRPr="005E3077" w:rsidRDefault="00021847" w:rsidP="004361BB">
            <w:pPr>
              <w:suppressAutoHyphens w:val="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E3077" w:rsidRPr="005E3077" w14:paraId="5D714981" w14:textId="77777777" w:rsidTr="004361BB">
        <w:tc>
          <w:tcPr>
            <w:tcW w:w="0" w:type="auto"/>
            <w:shd w:val="clear" w:color="auto" w:fill="auto"/>
          </w:tcPr>
          <w:p w14:paraId="05B08ADD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Pourraient relever du harcèlement sexuel ou de violences sexuelles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0CC06A4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Pourraient constituer d’autres comportements inappropriés  </w:t>
            </w:r>
          </w:p>
        </w:tc>
        <w:tc>
          <w:tcPr>
            <w:tcW w:w="0" w:type="auto"/>
            <w:shd w:val="clear" w:color="auto" w:fill="auto"/>
          </w:tcPr>
          <w:p w14:paraId="0E27B0ED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Tendent manifestement à écarter la caractérisation d’un harcèlement sexuel ou de comportements inappropriés</w:t>
            </w:r>
          </w:p>
          <w:p w14:paraId="23BB246E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E3077" w:rsidRPr="005E3077" w14:paraId="5FFFFC5D" w14:textId="77777777" w:rsidTr="004361BB">
        <w:tc>
          <w:tcPr>
            <w:tcW w:w="0" w:type="auto"/>
            <w:shd w:val="clear" w:color="auto" w:fill="auto"/>
          </w:tcPr>
          <w:p w14:paraId="5E1DC6E2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Organisation d’une enquête interne</w:t>
            </w:r>
          </w:p>
          <w:p w14:paraId="3763B0F5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Cf. étape 3</w:t>
            </w:r>
          </w:p>
          <w:p w14:paraId="06886D37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AD29206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Organisation d’entretiens avec </w:t>
            </w:r>
            <w:proofErr w:type="gram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l’</w:t>
            </w:r>
            <w:proofErr w:type="spell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auteur.trice</w:t>
            </w:r>
            <w:proofErr w:type="spellEnd"/>
            <w:proofErr w:type="gramEnd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présumé·e</w:t>
            </w:r>
            <w:proofErr w:type="spellEnd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des faits et les éventuels témoins.</w:t>
            </w:r>
          </w:p>
          <w:p w14:paraId="3B38CF1D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0D6E6AB3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Information de </w:t>
            </w:r>
            <w:proofErr w:type="gram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l’</w:t>
            </w:r>
            <w:proofErr w:type="spell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auteur.trice</w:t>
            </w:r>
            <w:proofErr w:type="spellEnd"/>
            <w:proofErr w:type="gramEnd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du signalement des suites données à son alerte</w:t>
            </w:r>
          </w:p>
        </w:tc>
      </w:tr>
      <w:tr w:rsidR="005E3077" w:rsidRPr="005E3077" w14:paraId="54776ECD" w14:textId="77777777" w:rsidTr="004361BB">
        <w:tc>
          <w:tcPr>
            <w:tcW w:w="0" w:type="auto"/>
            <w:shd w:val="clear" w:color="auto" w:fill="auto"/>
          </w:tcPr>
          <w:p w14:paraId="7A81637C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Instauration de mesures conservatoires pour mettre fin à la situation</w:t>
            </w:r>
          </w:p>
        </w:tc>
        <w:tc>
          <w:tcPr>
            <w:tcW w:w="0" w:type="auto"/>
            <w:shd w:val="clear" w:color="auto" w:fill="auto"/>
          </w:tcPr>
          <w:p w14:paraId="50D274DF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Comportement inapproprié caractérisé :</w:t>
            </w:r>
          </w:p>
          <w:p w14:paraId="34DA6D59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Rappel à l’ordre ou sanction de </w:t>
            </w:r>
            <w:proofErr w:type="gram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l’</w:t>
            </w:r>
            <w:proofErr w:type="spell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auteur.trice</w:t>
            </w:r>
            <w:proofErr w:type="spellEnd"/>
            <w:proofErr w:type="gramEnd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des faits</w:t>
            </w:r>
          </w:p>
          <w:p w14:paraId="3AA1BD1C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69E0A37A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Pas de comportement inapproprié :</w:t>
            </w:r>
          </w:p>
          <w:p w14:paraId="69EC6406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2CC618D1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Information de </w:t>
            </w:r>
            <w:proofErr w:type="gram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l’</w:t>
            </w:r>
            <w:proofErr w:type="spell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auteur.trice</w:t>
            </w:r>
            <w:proofErr w:type="spellEnd"/>
            <w:proofErr w:type="gramEnd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du signalement des suites données à son alerte</w:t>
            </w:r>
          </w:p>
        </w:tc>
        <w:tc>
          <w:tcPr>
            <w:tcW w:w="0" w:type="auto"/>
            <w:shd w:val="clear" w:color="auto" w:fill="auto"/>
          </w:tcPr>
          <w:p w14:paraId="46B2CD36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1847" w:rsidRPr="005E3077" w14:paraId="2338169F" w14:textId="77777777" w:rsidTr="004361BB">
        <w:tc>
          <w:tcPr>
            <w:tcW w:w="0" w:type="auto"/>
            <w:shd w:val="clear" w:color="auto" w:fill="auto"/>
          </w:tcPr>
          <w:p w14:paraId="04E294AE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Information de </w:t>
            </w:r>
            <w:proofErr w:type="gram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l’</w:t>
            </w:r>
            <w:proofErr w:type="spell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auteur.trice</w:t>
            </w:r>
            <w:proofErr w:type="spellEnd"/>
            <w:proofErr w:type="gramEnd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du signalement des suites données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36E8166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166E3A5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39C897E5" w14:textId="77777777" w:rsidR="00021847" w:rsidRPr="005E3077" w:rsidRDefault="00021847" w:rsidP="00021847">
      <w:p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5F7806A1" w14:textId="77777777" w:rsidR="00021847" w:rsidRPr="005E3077" w:rsidRDefault="00021847" w:rsidP="00021847">
      <w:p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1AA3318C" w14:textId="77777777" w:rsidR="00021847" w:rsidRPr="005E3077" w:rsidRDefault="00021847" w:rsidP="00021847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Calibri" w:eastAsia="Calibri" w:hAnsi="Calibri"/>
          <w:b/>
          <w:bCs/>
          <w:color w:val="000000" w:themeColor="text1"/>
          <w:szCs w:val="24"/>
          <w:lang w:eastAsia="en-US"/>
        </w:rPr>
      </w:pPr>
      <w:r w:rsidRPr="005E3077">
        <w:rPr>
          <w:rFonts w:ascii="Calibri" w:eastAsia="Calibri" w:hAnsi="Calibri"/>
          <w:b/>
          <w:bCs/>
          <w:color w:val="000000" w:themeColor="text1"/>
          <w:szCs w:val="24"/>
          <w:lang w:eastAsia="en-US"/>
        </w:rPr>
        <w:t>Réaliser une enquête</w:t>
      </w:r>
    </w:p>
    <w:p w14:paraId="01B08049" w14:textId="77777777" w:rsidR="00021847" w:rsidRPr="005E3077" w:rsidRDefault="00021847" w:rsidP="00021847">
      <w:p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6B361B60" w14:textId="77777777" w:rsidR="00021847" w:rsidRPr="005E3077" w:rsidRDefault="00021847" w:rsidP="00021847">
      <w:p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La commission d’enquête est composée :</w:t>
      </w:r>
    </w:p>
    <w:p w14:paraId="15C52E30" w14:textId="77777777" w:rsidR="00021847" w:rsidRPr="005E3077" w:rsidRDefault="00021847" w:rsidP="00021847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proofErr w:type="gramStart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de</w:t>
      </w:r>
      <w:proofErr w:type="gramEnd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________ </w:t>
      </w:r>
      <w:r w:rsidRPr="005E3077">
        <w:rPr>
          <w:rFonts w:ascii="Calibri" w:eastAsia="Calibri" w:hAnsi="Calibri"/>
          <w:i/>
          <w:iCs/>
          <w:color w:val="000000" w:themeColor="text1"/>
          <w:sz w:val="22"/>
          <w:szCs w:val="22"/>
          <w:lang w:eastAsia="en-US"/>
        </w:rPr>
        <w:t>(fonction de la personne référente pour la direction)</w:t>
      </w: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, </w:t>
      </w:r>
    </w:p>
    <w:p w14:paraId="488998AA" w14:textId="77777777" w:rsidR="00021847" w:rsidRPr="005E3077" w:rsidRDefault="00021847" w:rsidP="00021847">
      <w:pPr>
        <w:numPr>
          <w:ilvl w:val="0"/>
          <w:numId w:val="3"/>
        </w:num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proofErr w:type="gramStart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du</w:t>
      </w:r>
      <w:proofErr w:type="gramEnd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ou de la référente harcèlement du CSE </w:t>
      </w:r>
      <w:r w:rsidRPr="005E3077">
        <w:rPr>
          <w:rFonts w:ascii="Calibri" w:eastAsia="Calibri" w:hAnsi="Calibri"/>
          <w:i/>
          <w:iCs/>
          <w:color w:val="000000" w:themeColor="text1"/>
          <w:sz w:val="22"/>
          <w:szCs w:val="22"/>
          <w:lang w:eastAsia="en-US"/>
        </w:rPr>
        <w:t>(lorsqu’il existe)</w:t>
      </w: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,</w:t>
      </w:r>
    </w:p>
    <w:p w14:paraId="61B2988F" w14:textId="77777777" w:rsidR="00021847" w:rsidRPr="005E3077" w:rsidRDefault="00021847" w:rsidP="00021847">
      <w:pPr>
        <w:numPr>
          <w:ilvl w:val="0"/>
          <w:numId w:val="3"/>
        </w:num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proofErr w:type="gramStart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du</w:t>
      </w:r>
      <w:proofErr w:type="gramEnd"/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ou de la référente harcèlement de l’entreprise </w:t>
      </w:r>
      <w:r w:rsidRPr="005E3077">
        <w:rPr>
          <w:rFonts w:ascii="Calibri" w:eastAsia="Calibri" w:hAnsi="Calibri"/>
          <w:i/>
          <w:iCs/>
          <w:color w:val="000000" w:themeColor="text1"/>
          <w:sz w:val="22"/>
          <w:szCs w:val="22"/>
          <w:lang w:eastAsia="en-US"/>
        </w:rPr>
        <w:t>(le cas échéant)</w:t>
      </w: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.</w:t>
      </w:r>
    </w:p>
    <w:p w14:paraId="1B9387E2" w14:textId="77777777" w:rsidR="00021847" w:rsidRPr="005E3077" w:rsidRDefault="00021847" w:rsidP="00021847">
      <w:p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05D0AC17" w14:textId="77777777" w:rsidR="00021847" w:rsidRPr="005E3077" w:rsidRDefault="00021847" w:rsidP="00021847">
      <w:p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Les principales étapes pour réaliser l’enquête sont les suivantes :</w:t>
      </w:r>
    </w:p>
    <w:p w14:paraId="3166B0AB" w14:textId="77777777" w:rsidR="00021847" w:rsidRPr="005E3077" w:rsidRDefault="00021847" w:rsidP="00021847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Mettre en commun les éléments connus</w:t>
      </w:r>
    </w:p>
    <w:p w14:paraId="4B946072" w14:textId="77777777" w:rsidR="00021847" w:rsidRPr="005E3077" w:rsidRDefault="00021847" w:rsidP="00021847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Partager les objectifs et les principes de l’enquête</w:t>
      </w:r>
    </w:p>
    <w:p w14:paraId="1644C477" w14:textId="77777777" w:rsidR="00021847" w:rsidRPr="005E3077" w:rsidRDefault="00021847" w:rsidP="00021847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Établir un guide d’entretien et un cadre d’entretien</w:t>
      </w:r>
    </w:p>
    <w:p w14:paraId="6731D4E8" w14:textId="77777777" w:rsidR="00021847" w:rsidRPr="005E3077" w:rsidRDefault="00021847" w:rsidP="00021847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Définir le calendrier de l’enquête</w:t>
      </w:r>
    </w:p>
    <w:p w14:paraId="7DC1B3A6" w14:textId="77777777" w:rsidR="00021847" w:rsidRPr="005E3077" w:rsidRDefault="00021847" w:rsidP="00021847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Lister les personnes à auditionner</w:t>
      </w:r>
    </w:p>
    <w:p w14:paraId="0B15F2AD" w14:textId="77777777" w:rsidR="00021847" w:rsidRPr="005E3077" w:rsidRDefault="00021847" w:rsidP="00021847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Déterminer le lieu des auditions (garantissant la confidentialité)</w:t>
      </w:r>
    </w:p>
    <w:p w14:paraId="640B84A1" w14:textId="77777777" w:rsidR="00021847" w:rsidRPr="005E3077" w:rsidRDefault="00021847" w:rsidP="00021847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Associer d’éventuels intervenants extérieurs (médecine du travail, par exemple)</w:t>
      </w:r>
    </w:p>
    <w:p w14:paraId="28EBEDA8" w14:textId="77777777" w:rsidR="00021847" w:rsidRPr="005E3077" w:rsidRDefault="00021847" w:rsidP="00021847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lastRenderedPageBreak/>
        <w:t>Identifier les personnes qui vont mener chacune des auditions et le cas échéant, prévoir les modalités de mise en commun des informations recueillies</w:t>
      </w:r>
    </w:p>
    <w:p w14:paraId="7E08FF59" w14:textId="77777777" w:rsidR="00021847" w:rsidRPr="005E3077" w:rsidRDefault="00021847" w:rsidP="00021847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Déterminer les modalités de recueil des témoignages et d’établissement des comptes rendus</w:t>
      </w:r>
    </w:p>
    <w:p w14:paraId="3A38F7D0" w14:textId="77777777" w:rsidR="00021847" w:rsidRPr="005E3077" w:rsidRDefault="00021847" w:rsidP="00021847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Réaliser les auditions nécessaires</w:t>
      </w:r>
    </w:p>
    <w:p w14:paraId="3687B16B" w14:textId="77777777" w:rsidR="00021847" w:rsidRPr="005E3077" w:rsidRDefault="00021847" w:rsidP="00021847">
      <w:p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0EAE1AF5" w14:textId="6B2E1431" w:rsidR="00021847" w:rsidRPr="005E3077" w:rsidRDefault="00021847" w:rsidP="00021847">
      <w:p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61C97FAE" w14:textId="77777777" w:rsidR="00021847" w:rsidRPr="005E3077" w:rsidRDefault="00021847" w:rsidP="00021847">
      <w:p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484CEE9D" w14:textId="77777777" w:rsidR="00021847" w:rsidRPr="005E3077" w:rsidRDefault="00021847" w:rsidP="00021847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Calibri" w:eastAsia="Calibri" w:hAnsi="Calibri"/>
          <w:b/>
          <w:bCs/>
          <w:color w:val="000000" w:themeColor="text1"/>
          <w:szCs w:val="24"/>
          <w:lang w:eastAsia="en-US"/>
        </w:rPr>
      </w:pPr>
      <w:r w:rsidRPr="005E3077">
        <w:rPr>
          <w:rFonts w:ascii="Calibri" w:eastAsia="Calibri" w:hAnsi="Calibri"/>
          <w:b/>
          <w:bCs/>
          <w:color w:val="000000" w:themeColor="text1"/>
          <w:szCs w:val="24"/>
          <w:lang w:eastAsia="en-US"/>
        </w:rPr>
        <w:t>Rédiger un rapport d’enquête</w:t>
      </w:r>
    </w:p>
    <w:p w14:paraId="4A6ACD0F" w14:textId="77777777" w:rsidR="00021847" w:rsidRPr="005E3077" w:rsidRDefault="00021847" w:rsidP="00021847">
      <w:p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E4991FC" w14:textId="77777777" w:rsidR="00021847" w:rsidRPr="005E3077" w:rsidRDefault="00021847" w:rsidP="00021847">
      <w:pPr>
        <w:suppressAutoHyphens w:val="0"/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Etablissement du rapport d’enquête signé de l’ensemble des personnes y ayant participé et concluant à la caractérisation ou non du harcèlement sexuel ou de violences sexuelles.</w:t>
      </w:r>
    </w:p>
    <w:p w14:paraId="67727312" w14:textId="77777777" w:rsidR="00021847" w:rsidRPr="005E3077" w:rsidRDefault="00021847" w:rsidP="00021847">
      <w:pPr>
        <w:suppressAutoHyphens w:val="0"/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E307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Les preuves et comptes rendus des auditions y sont annexés.</w:t>
      </w:r>
    </w:p>
    <w:p w14:paraId="2CB56390" w14:textId="77777777" w:rsidR="00021847" w:rsidRPr="005E3077" w:rsidRDefault="00021847" w:rsidP="00021847">
      <w:p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45B965FA" w14:textId="77777777" w:rsidR="00021847" w:rsidRPr="005E3077" w:rsidRDefault="00021847" w:rsidP="00021847">
      <w:p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489F96A" w14:textId="77777777" w:rsidR="00021847" w:rsidRPr="005E3077" w:rsidRDefault="00021847" w:rsidP="00021847">
      <w:pPr>
        <w:numPr>
          <w:ilvl w:val="0"/>
          <w:numId w:val="1"/>
        </w:numPr>
        <w:suppressAutoHyphens w:val="0"/>
        <w:spacing w:after="160" w:line="259" w:lineRule="auto"/>
        <w:rPr>
          <w:rFonts w:ascii="Calibri" w:eastAsia="Calibri" w:hAnsi="Calibri"/>
          <w:b/>
          <w:bCs/>
          <w:color w:val="000000" w:themeColor="text1"/>
          <w:szCs w:val="24"/>
          <w:lang w:eastAsia="en-US"/>
        </w:rPr>
      </w:pPr>
      <w:r w:rsidRPr="005E3077">
        <w:rPr>
          <w:rFonts w:ascii="Calibri" w:eastAsia="Calibri" w:hAnsi="Calibri"/>
          <w:b/>
          <w:bCs/>
          <w:color w:val="000000" w:themeColor="text1"/>
          <w:szCs w:val="24"/>
          <w:lang w:eastAsia="en-US"/>
        </w:rPr>
        <w:t>Donner des suites aux conclusions de l’enquête</w:t>
      </w:r>
    </w:p>
    <w:p w14:paraId="6C32504A" w14:textId="77777777" w:rsidR="00021847" w:rsidRPr="005E3077" w:rsidRDefault="00021847" w:rsidP="00021847">
      <w:pPr>
        <w:suppressAutoHyphens w:val="0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077" w:rsidRPr="005E3077" w14:paraId="5430FDF3" w14:textId="77777777" w:rsidTr="004361BB">
        <w:tc>
          <w:tcPr>
            <w:tcW w:w="9062" w:type="dxa"/>
            <w:gridSpan w:val="2"/>
            <w:shd w:val="clear" w:color="auto" w:fill="auto"/>
          </w:tcPr>
          <w:p w14:paraId="613F1F97" w14:textId="77777777" w:rsidR="00021847" w:rsidRPr="005E3077" w:rsidRDefault="00021847" w:rsidP="004361BB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Si le harcèlement sexuel ou les violences sexuelles</w:t>
            </w:r>
          </w:p>
          <w:p w14:paraId="4DABD5AC" w14:textId="77777777" w:rsidR="00021847" w:rsidRPr="005E3077" w:rsidRDefault="00021847" w:rsidP="004361BB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E3077" w:rsidRPr="005E3077" w14:paraId="0578ECDC" w14:textId="77777777" w:rsidTr="004361BB">
        <w:tc>
          <w:tcPr>
            <w:tcW w:w="4531" w:type="dxa"/>
            <w:shd w:val="clear" w:color="auto" w:fill="auto"/>
          </w:tcPr>
          <w:p w14:paraId="768B44A4" w14:textId="77777777" w:rsidR="00021847" w:rsidRPr="005E3077" w:rsidRDefault="00021847" w:rsidP="004361BB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Sont caractérisés</w:t>
            </w:r>
          </w:p>
          <w:p w14:paraId="57D540F6" w14:textId="77777777" w:rsidR="00021847" w:rsidRPr="005E3077" w:rsidRDefault="00021847" w:rsidP="004361BB">
            <w:pPr>
              <w:suppressAutoHyphens w:val="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2B2A0119" w14:textId="77777777" w:rsidR="00021847" w:rsidRPr="005E3077" w:rsidRDefault="00021847" w:rsidP="004361BB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Ne sont pas caractérisés</w:t>
            </w:r>
          </w:p>
        </w:tc>
      </w:tr>
      <w:tr w:rsidR="00021847" w:rsidRPr="005E3077" w14:paraId="1D0350D0" w14:textId="77777777" w:rsidTr="004361BB">
        <w:tc>
          <w:tcPr>
            <w:tcW w:w="4531" w:type="dxa"/>
            <w:shd w:val="clear" w:color="auto" w:fill="auto"/>
          </w:tcPr>
          <w:p w14:paraId="0B23600F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Engagement de la procédure disciplinaire en vue d’une sanction de </w:t>
            </w:r>
            <w:proofErr w:type="gram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l’</w:t>
            </w:r>
            <w:proofErr w:type="spell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auteur.trice</w:t>
            </w:r>
            <w:proofErr w:type="spellEnd"/>
            <w:proofErr w:type="gramEnd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des faits pouvant aller jusqu’au licenciement pour faute grave en cas de viol, de harcèlement sexuel ou d’agression sexuelle.</w:t>
            </w:r>
          </w:p>
          <w:p w14:paraId="6728D266" w14:textId="77777777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78FE0EE3" w14:textId="03F8F63E" w:rsidR="00AF4812" w:rsidRPr="005E3077" w:rsidRDefault="00AF4812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Mais que le rapport d’enquête conclut à un comportement inapproprié de </w:t>
            </w:r>
            <w:proofErr w:type="gram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l’</w:t>
            </w:r>
            <w:proofErr w:type="spellStart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auteur.trice</w:t>
            </w:r>
            <w:proofErr w:type="spellEnd"/>
            <w:proofErr w:type="gramEnd"/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des faits, un rappel à l’ordre ou une sanction proportionnée à la faute commise est envisageable dans le respect de la procédure disciplinaire.</w:t>
            </w:r>
          </w:p>
          <w:p w14:paraId="090BFA10" w14:textId="43C77891" w:rsidR="00F96996" w:rsidRPr="005E3077" w:rsidRDefault="00F96996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La personne ayant dénoncé</w:t>
            </w:r>
            <w:r w:rsidR="00BA2B64"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des faits de harcèlement, de violences sexuelles ou d’agissement sexiste ne saurait faire l’objet d’une sanction disciplinaire sauf mauvaise foi de sa part.</w:t>
            </w:r>
          </w:p>
          <w:p w14:paraId="25C43DC8" w14:textId="148A73D7" w:rsidR="00F96996" w:rsidRPr="005E3077" w:rsidRDefault="00F96996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Il convient </w:t>
            </w:r>
            <w:r w:rsidR="00E904A1"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de :</w:t>
            </w:r>
          </w:p>
          <w:p w14:paraId="4AC5ADBE" w14:textId="2E825101" w:rsidR="00F96996" w:rsidRPr="005E3077" w:rsidRDefault="00F96996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-rester vigilant tout</w:t>
            </w:r>
            <w:r w:rsidR="003C59CD"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en</w:t>
            </w: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évitant d’instaurer un climat de suspicion</w:t>
            </w:r>
            <w:r w:rsidR="005E3077"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 ;</w:t>
            </w:r>
          </w:p>
          <w:p w14:paraId="3BECC753" w14:textId="77D1FF5F" w:rsidR="005E3077" w:rsidRPr="005E3077" w:rsidRDefault="00F96996" w:rsidP="005E3077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-accompagner la poursuite des relations de travail </w:t>
            </w:r>
            <w:r w:rsidR="00985694"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en organisant par exemple</w:t>
            </w:r>
            <w:r w:rsidR="00BA2B64"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, des temps d’échange individuels et collectifs</w:t>
            </w:r>
            <w:r w:rsidR="005E3077" w:rsidRPr="005E307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74813CB8" w14:textId="38E237DE" w:rsidR="00021847" w:rsidRPr="005E3077" w:rsidRDefault="00021847" w:rsidP="004361BB">
            <w:pPr>
              <w:suppressAutoHyphens w:val="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33FF9AE" w14:textId="77777777" w:rsidR="00021847" w:rsidRPr="005E3077" w:rsidRDefault="00021847" w:rsidP="00021847">
      <w:pPr>
        <w:suppressAutoHyphens w:val="0"/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685A51F0" w14:textId="77777777" w:rsidR="00021847" w:rsidRPr="005E3077" w:rsidRDefault="00021847" w:rsidP="00021847">
      <w:pPr>
        <w:suppressAutoHyphens w:val="0"/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30A97854" w14:textId="77777777" w:rsidR="00656020" w:rsidRPr="005E3077" w:rsidRDefault="00656020">
      <w:pPr>
        <w:rPr>
          <w:color w:val="000000" w:themeColor="text1"/>
        </w:rPr>
      </w:pPr>
    </w:p>
    <w:sectPr w:rsidR="00656020" w:rsidRPr="005E3077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34A1"/>
    <w:multiLevelType w:val="hybridMultilevel"/>
    <w:tmpl w:val="5FFE1F1A"/>
    <w:lvl w:ilvl="0" w:tplc="14E02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649C4"/>
    <w:multiLevelType w:val="hybridMultilevel"/>
    <w:tmpl w:val="7EDC579C"/>
    <w:lvl w:ilvl="0" w:tplc="1CBA90C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26986"/>
    <w:multiLevelType w:val="hybridMultilevel"/>
    <w:tmpl w:val="FB4C4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074B6"/>
    <w:multiLevelType w:val="hybridMultilevel"/>
    <w:tmpl w:val="09ECE46E"/>
    <w:lvl w:ilvl="0" w:tplc="934A12F0">
      <w:start w:val="1"/>
      <w:numFmt w:val="bullet"/>
      <w:lvlText w:val="−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86142">
    <w:abstractNumId w:val="0"/>
  </w:num>
  <w:num w:numId="2" w16cid:durableId="606740130">
    <w:abstractNumId w:val="3"/>
  </w:num>
  <w:num w:numId="3" w16cid:durableId="1502232892">
    <w:abstractNumId w:val="2"/>
  </w:num>
  <w:num w:numId="4" w16cid:durableId="181522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47"/>
    <w:rsid w:val="00021847"/>
    <w:rsid w:val="002B1DD6"/>
    <w:rsid w:val="00363888"/>
    <w:rsid w:val="003801F1"/>
    <w:rsid w:val="003C59CD"/>
    <w:rsid w:val="00491940"/>
    <w:rsid w:val="005E3077"/>
    <w:rsid w:val="005F0CA8"/>
    <w:rsid w:val="00656020"/>
    <w:rsid w:val="00985694"/>
    <w:rsid w:val="00AF4812"/>
    <w:rsid w:val="00B9065C"/>
    <w:rsid w:val="00BA2B64"/>
    <w:rsid w:val="00CE2B2A"/>
    <w:rsid w:val="00E53DB9"/>
    <w:rsid w:val="00E904A1"/>
    <w:rsid w:val="00F2278A"/>
    <w:rsid w:val="00F9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8100"/>
  <w15:chartTrackingRefBased/>
  <w15:docId w15:val="{EF671890-EBE4-493A-8EC4-2B24AFEF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2B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2B2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E2B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article_lc/LEGIARTI000045389811/2023-01-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codes/id/LEGISCTA0000061778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codes/article_lc/LEGIARTI00002626838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 Resp-Juridique</dc:creator>
  <cp:keywords/>
  <dc:description/>
  <cp:lastModifiedBy>SMA Resp-Juridique</cp:lastModifiedBy>
  <cp:revision>2</cp:revision>
  <dcterms:created xsi:type="dcterms:W3CDTF">2022-10-11T10:05:00Z</dcterms:created>
  <dcterms:modified xsi:type="dcterms:W3CDTF">2022-10-11T10:05:00Z</dcterms:modified>
</cp:coreProperties>
</file>