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9608" w14:textId="5C4A80F0" w:rsidR="004B1BB8" w:rsidRDefault="00113237" w:rsidP="006F00D9">
      <w:pPr>
        <w:jc w:val="center"/>
        <w:rPr>
          <w:rFonts w:ascii="IBM Plex Sans" w:hAnsi="IBM Plex Sans"/>
          <w:b/>
          <w:bCs/>
          <w:sz w:val="36"/>
          <w:szCs w:val="36"/>
        </w:rPr>
      </w:pPr>
      <w:r>
        <w:rPr>
          <w:rFonts w:ascii="IBM Plex Sans" w:hAnsi="IBM Plex Sans"/>
          <w:b/>
          <w:bCs/>
          <w:sz w:val="36"/>
          <w:szCs w:val="36"/>
        </w:rPr>
        <w:t>STOP AUX VIOLENCES SEXUELLES ET AUX AGISSEMENTS SEXISTES AU TRAVAIL</w:t>
      </w:r>
    </w:p>
    <w:p w14:paraId="31416D33" w14:textId="03F8F4E0" w:rsidR="00564620" w:rsidRPr="00564620" w:rsidRDefault="00564620" w:rsidP="006F00D9">
      <w:pPr>
        <w:jc w:val="center"/>
        <w:rPr>
          <w:rFonts w:ascii="IBM Plex Sans" w:hAnsi="IBM Plex Sans"/>
          <w:i/>
          <w:iCs/>
          <w:sz w:val="20"/>
          <w:szCs w:val="20"/>
        </w:rPr>
      </w:pPr>
      <w:r w:rsidRPr="00564620">
        <w:rPr>
          <w:rFonts w:ascii="IBM Plex Sans" w:hAnsi="IBM Plex Sans"/>
          <w:i/>
          <w:iCs/>
          <w:sz w:val="20"/>
          <w:szCs w:val="20"/>
        </w:rPr>
        <w:t>cf. Titre XVIII de la CCNEAC (convention collective des entreprises artistiques et culturelles) relatif à la Prévention et sanctions des violences sexuelles et des agissements sexistes au travail</w:t>
      </w:r>
    </w:p>
    <w:p w14:paraId="106087FA" w14:textId="4C5D34E1" w:rsidR="004B1BB8" w:rsidRDefault="004B1BB8" w:rsidP="006F00D9">
      <w:pPr>
        <w:jc w:val="center"/>
        <w:rPr>
          <w:rFonts w:ascii="IBM Plex Sans" w:hAnsi="IBM Plex Sans"/>
        </w:rPr>
      </w:pPr>
    </w:p>
    <w:p w14:paraId="2EC27DAC" w14:textId="77777777" w:rsidR="006F00D9" w:rsidRPr="00003FB8" w:rsidRDefault="006F00D9" w:rsidP="006F00D9">
      <w:pPr>
        <w:jc w:val="center"/>
        <w:rPr>
          <w:rFonts w:ascii="IBM Plex Sans" w:hAnsi="IBM Plex Sans"/>
        </w:rPr>
      </w:pPr>
    </w:p>
    <w:p w14:paraId="624D37D8" w14:textId="52A746A2" w:rsidR="004B1BB8" w:rsidRPr="002C7D7A" w:rsidRDefault="004B1BB8" w:rsidP="006F00D9">
      <w:pPr>
        <w:jc w:val="both"/>
        <w:rPr>
          <w:rFonts w:ascii="IBM Plex Sans" w:hAnsi="IBM Plex Sans" w:cs="Arial"/>
          <w:color w:val="000000"/>
          <w:sz w:val="28"/>
          <w:szCs w:val="28"/>
        </w:rPr>
      </w:pPr>
      <w:r w:rsidRPr="002C7D7A">
        <w:rPr>
          <w:rFonts w:ascii="IBM Plex Sans" w:hAnsi="IBM Plex Sans" w:cs="Arial"/>
          <w:b/>
          <w:bCs/>
          <w:color w:val="000000"/>
          <w:sz w:val="28"/>
          <w:szCs w:val="28"/>
        </w:rPr>
        <w:t>QUE SONT LE HARCÈLEMENT ET LES VIOLENCES SEXISTES ET SEXUELLES ?</w:t>
      </w:r>
    </w:p>
    <w:p w14:paraId="476431E2" w14:textId="6902FD76" w:rsidR="004B1BB8" w:rsidRDefault="004B1BB8" w:rsidP="006F00D9">
      <w:pPr>
        <w:jc w:val="both"/>
        <w:rPr>
          <w:rFonts w:ascii="IBM Plex Sans" w:hAnsi="IBM Plex Sans" w:cs="Arial"/>
          <w:color w:val="000000"/>
          <w:sz w:val="22"/>
          <w:szCs w:val="22"/>
        </w:rPr>
      </w:pPr>
    </w:p>
    <w:p w14:paraId="32C29440" w14:textId="77777777" w:rsidR="006F00D9" w:rsidRPr="00003FB8" w:rsidRDefault="006F00D9" w:rsidP="006F00D9">
      <w:pPr>
        <w:jc w:val="both"/>
        <w:rPr>
          <w:rFonts w:ascii="IBM Plex Sans" w:hAnsi="IBM Plex Sans" w:cs="Arial"/>
          <w:color w:val="000000"/>
          <w:sz w:val="22"/>
          <w:szCs w:val="22"/>
        </w:rPr>
      </w:pPr>
    </w:p>
    <w:p w14:paraId="69DA91D3" w14:textId="77777777" w:rsidR="004B1BB8" w:rsidRPr="00003FB8" w:rsidRDefault="004B1BB8" w:rsidP="006F00D9">
      <w:pPr>
        <w:jc w:val="both"/>
        <w:rPr>
          <w:rFonts w:ascii="IBM Plex Sans" w:hAnsi="IBM Plex Sans" w:cs="Arial"/>
          <w:b/>
          <w:bCs/>
          <w:color w:val="000000"/>
        </w:rPr>
      </w:pPr>
      <w:r w:rsidRPr="00003FB8">
        <w:rPr>
          <w:rFonts w:ascii="IBM Plex Sans" w:hAnsi="IBM Plex Sans" w:cs="Arial"/>
          <w:b/>
          <w:bCs/>
          <w:color w:val="000000"/>
        </w:rPr>
        <w:t>HARCELEMENT :</w:t>
      </w:r>
    </w:p>
    <w:p w14:paraId="01194CFC" w14:textId="77777777" w:rsidR="004B1BB8" w:rsidRPr="00003FB8" w:rsidRDefault="004B1BB8" w:rsidP="006F00D9">
      <w:pPr>
        <w:jc w:val="both"/>
        <w:rPr>
          <w:rFonts w:ascii="IBM Plex Sans" w:hAnsi="IBM Plex Sans" w:cs="Arial"/>
          <w:color w:val="000000"/>
          <w:sz w:val="22"/>
          <w:szCs w:val="22"/>
        </w:rPr>
      </w:pPr>
    </w:p>
    <w:p w14:paraId="42AB004A" w14:textId="12666BE9" w:rsidR="004B1BB8" w:rsidRPr="00412344" w:rsidRDefault="004B1BB8" w:rsidP="006F00D9">
      <w:pPr>
        <w:jc w:val="both"/>
        <w:rPr>
          <w:rFonts w:ascii="IBM Plex Sans" w:hAnsi="IBM Plex Sans" w:cstheme="minorHAnsi"/>
          <w:i/>
          <w:iCs/>
          <w:sz w:val="22"/>
          <w:szCs w:val="22"/>
        </w:rPr>
      </w:pPr>
      <w:r w:rsidRPr="00003FB8">
        <w:rPr>
          <w:rFonts w:ascii="IBM Plex Sans" w:hAnsi="IBM Plex Sans"/>
          <w:b/>
          <w:bCs/>
          <w:sz w:val="22"/>
          <w:szCs w:val="22"/>
        </w:rPr>
        <w:t>Code du travail </w:t>
      </w:r>
      <w:r w:rsidR="001D5951" w:rsidRPr="00003FB8">
        <w:rPr>
          <w:rFonts w:ascii="IBM Plex Sans" w:hAnsi="IBM Plex Sans"/>
          <w:b/>
          <w:bCs/>
          <w:sz w:val="22"/>
          <w:szCs w:val="22"/>
        </w:rPr>
        <w:t xml:space="preserve">[art. </w:t>
      </w:r>
      <w:r w:rsidR="001D5951" w:rsidRPr="00003FB8">
        <w:rPr>
          <w:rFonts w:ascii="IBM Plex Sans" w:hAnsi="IBM Plex Sans" w:cstheme="minorHAnsi"/>
          <w:b/>
          <w:bCs/>
          <w:sz w:val="22"/>
          <w:szCs w:val="22"/>
        </w:rPr>
        <w:t>L1152-1]</w:t>
      </w:r>
      <w:r w:rsidR="001D5951" w:rsidRPr="00003FB8">
        <w:rPr>
          <w:rFonts w:ascii="IBM Plex Sans" w:hAnsi="IBM Plex Sans" w:cstheme="minorHAnsi"/>
          <w:sz w:val="22"/>
          <w:szCs w:val="22"/>
        </w:rPr>
        <w:t xml:space="preserve"> </w:t>
      </w:r>
      <w:r w:rsidRPr="00003FB8">
        <w:rPr>
          <w:rFonts w:ascii="IBM Plex Sans" w:hAnsi="IBM Plex Sans"/>
          <w:b/>
          <w:bCs/>
          <w:sz w:val="22"/>
          <w:szCs w:val="22"/>
        </w:rPr>
        <w:t xml:space="preserve">: </w:t>
      </w:r>
      <w:r w:rsidRPr="00412344">
        <w:rPr>
          <w:rFonts w:ascii="IBM Plex Sans" w:hAnsi="IBM Plex Sans"/>
          <w:i/>
          <w:iCs/>
          <w:sz w:val="22"/>
          <w:szCs w:val="22"/>
        </w:rPr>
        <w:t>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w:t>
      </w:r>
      <w:r w:rsidRPr="00412344">
        <w:rPr>
          <w:rFonts w:ascii="IBM Plex Sans" w:hAnsi="IBM Plex Sans" w:cstheme="minorHAnsi"/>
          <w:i/>
          <w:iCs/>
          <w:sz w:val="22"/>
          <w:szCs w:val="22"/>
        </w:rPr>
        <w:t>.</w:t>
      </w:r>
    </w:p>
    <w:p w14:paraId="3536FF2F" w14:textId="77777777" w:rsidR="004B1BB8" w:rsidRPr="00003FB8" w:rsidRDefault="004B1BB8" w:rsidP="006F00D9">
      <w:pPr>
        <w:jc w:val="both"/>
        <w:rPr>
          <w:rFonts w:ascii="IBM Plex Sans" w:hAnsi="IBM Plex Sans" w:cstheme="minorHAnsi"/>
          <w:sz w:val="22"/>
          <w:szCs w:val="22"/>
        </w:rPr>
      </w:pPr>
    </w:p>
    <w:p w14:paraId="0984C43E" w14:textId="4D6477AD" w:rsidR="004B1BB8" w:rsidRPr="006F00D9" w:rsidRDefault="004B1BB8" w:rsidP="006F00D9">
      <w:pPr>
        <w:jc w:val="both"/>
        <w:rPr>
          <w:rFonts w:ascii="IBM Plex Sans" w:hAnsi="IBM Plex Sans" w:cs="Arial"/>
          <w:b/>
          <w:bCs/>
          <w:color w:val="000000"/>
          <w:sz w:val="22"/>
          <w:szCs w:val="22"/>
        </w:rPr>
      </w:pPr>
      <w:r w:rsidRPr="00003FB8">
        <w:rPr>
          <w:rFonts w:ascii="IBM Plex Sans" w:hAnsi="IBM Plex Sans" w:cstheme="minorHAnsi"/>
          <w:b/>
          <w:bCs/>
          <w:sz w:val="22"/>
          <w:szCs w:val="22"/>
        </w:rPr>
        <w:t>Code pénal</w:t>
      </w:r>
      <w:r w:rsidR="00003FB8" w:rsidRPr="00003FB8">
        <w:rPr>
          <w:rFonts w:ascii="IBM Plex Sans" w:hAnsi="IBM Plex Sans" w:cstheme="minorHAnsi"/>
          <w:b/>
          <w:bCs/>
          <w:sz w:val="22"/>
          <w:szCs w:val="22"/>
        </w:rPr>
        <w:t xml:space="preserve"> [art. 222-33]</w:t>
      </w:r>
      <w:r w:rsidRPr="00003FB8">
        <w:rPr>
          <w:rFonts w:ascii="IBM Plex Sans" w:hAnsi="IBM Plex Sans" w:cstheme="minorHAnsi"/>
          <w:b/>
          <w:bCs/>
          <w:sz w:val="22"/>
          <w:szCs w:val="22"/>
        </w:rPr>
        <w:t> :</w:t>
      </w:r>
    </w:p>
    <w:p w14:paraId="4569379E"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708791F8"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L'infraction est également constituée :</w:t>
      </w:r>
    </w:p>
    <w:p w14:paraId="1BF7D4AD"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1° Lorsque ces propos ou comportements sont imposés à une même victime par plusieurs personnes, de manière concertée ou à l'instigation de l'une d'elles, alors même que chacune de ces personnes n'a pas agi de façon répétée ;</w:t>
      </w:r>
    </w:p>
    <w:p w14:paraId="0DA6B4D0"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2° Lorsque ces propos ou comportements sont imposés à une même victime, successivement, par plusieurs personnes qui, même en l'absence de concertation, savent que ces propos ou comportements caractérisent une répétition.</w:t>
      </w:r>
    </w:p>
    <w:p w14:paraId="74CD35D4" w14:textId="22501445" w:rsidR="004B1BB8"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75266E89" w14:textId="765BF278" w:rsidR="006F00D9" w:rsidRDefault="006F00D9" w:rsidP="006F00D9">
      <w:pPr>
        <w:jc w:val="both"/>
        <w:rPr>
          <w:rFonts w:ascii="IBM Plex Sans" w:hAnsi="IBM Plex Sans" w:cs="Arial"/>
          <w:i/>
          <w:iCs/>
          <w:color w:val="000000"/>
          <w:sz w:val="22"/>
          <w:szCs w:val="22"/>
        </w:rPr>
      </w:pPr>
    </w:p>
    <w:p w14:paraId="4071CE45" w14:textId="77777777" w:rsidR="006F00D9" w:rsidRPr="00412344" w:rsidRDefault="006F00D9" w:rsidP="006F00D9">
      <w:pPr>
        <w:jc w:val="both"/>
        <w:rPr>
          <w:rFonts w:ascii="IBM Plex Sans" w:hAnsi="IBM Plex Sans" w:cs="Arial"/>
          <w:i/>
          <w:iCs/>
          <w:color w:val="000000"/>
          <w:sz w:val="22"/>
          <w:szCs w:val="22"/>
        </w:rPr>
      </w:pPr>
    </w:p>
    <w:p w14:paraId="7F96F0A3" w14:textId="77777777" w:rsidR="004B1BB8" w:rsidRPr="00003FB8" w:rsidRDefault="004B1BB8" w:rsidP="006F00D9">
      <w:pPr>
        <w:jc w:val="both"/>
        <w:rPr>
          <w:rFonts w:ascii="IBM Plex Sans" w:hAnsi="IBM Plex Sans" w:cs="Arial"/>
          <w:b/>
          <w:bCs/>
          <w:color w:val="000000"/>
        </w:rPr>
      </w:pPr>
      <w:r w:rsidRPr="00003FB8">
        <w:rPr>
          <w:rFonts w:ascii="IBM Plex Sans" w:hAnsi="IBM Plex Sans" w:cs="Arial"/>
          <w:b/>
          <w:bCs/>
          <w:color w:val="000000"/>
        </w:rPr>
        <w:t>VIOLENCES SEXISTES ET SEXUELLES</w:t>
      </w:r>
    </w:p>
    <w:p w14:paraId="5C9A8956" w14:textId="77777777" w:rsidR="004B1BB8" w:rsidRPr="00003FB8" w:rsidRDefault="004B1BB8" w:rsidP="006F00D9">
      <w:pPr>
        <w:jc w:val="both"/>
        <w:rPr>
          <w:rFonts w:ascii="IBM Plex Sans" w:hAnsi="IBM Plex Sans" w:cs="Arial"/>
          <w:color w:val="000000"/>
          <w:sz w:val="22"/>
          <w:szCs w:val="22"/>
        </w:rPr>
      </w:pPr>
    </w:p>
    <w:p w14:paraId="2F938647" w14:textId="1233BC7C" w:rsidR="004B1BB8" w:rsidRPr="00003FB8" w:rsidRDefault="004B1BB8" w:rsidP="006F00D9">
      <w:pPr>
        <w:jc w:val="both"/>
        <w:rPr>
          <w:rFonts w:ascii="IBM Plex Sans" w:hAnsi="IBM Plex Sans" w:cs="Arial"/>
          <w:color w:val="000000"/>
          <w:sz w:val="22"/>
          <w:szCs w:val="22"/>
        </w:rPr>
      </w:pPr>
      <w:r w:rsidRPr="00003FB8">
        <w:rPr>
          <w:rFonts w:ascii="IBM Plex Sans" w:hAnsi="IBM Plex Sans" w:cs="Arial"/>
          <w:b/>
          <w:bCs/>
          <w:color w:val="000000"/>
          <w:sz w:val="22"/>
          <w:szCs w:val="22"/>
        </w:rPr>
        <w:t>Code du travail</w:t>
      </w:r>
      <w:r w:rsidR="001D5951" w:rsidRPr="00003FB8">
        <w:rPr>
          <w:rFonts w:ascii="IBM Plex Sans" w:hAnsi="IBM Plex Sans" w:cs="Arial"/>
          <w:b/>
          <w:bCs/>
          <w:color w:val="000000"/>
          <w:sz w:val="22"/>
          <w:szCs w:val="22"/>
        </w:rPr>
        <w:t xml:space="preserve"> </w:t>
      </w:r>
      <w:r w:rsidR="001D5951" w:rsidRPr="00003FB8">
        <w:rPr>
          <w:rFonts w:ascii="IBM Plex Sans" w:hAnsi="IBM Plex Sans"/>
          <w:b/>
          <w:bCs/>
          <w:sz w:val="22"/>
          <w:szCs w:val="22"/>
        </w:rPr>
        <w:t xml:space="preserve">[art. </w:t>
      </w:r>
      <w:r w:rsidR="001D5951" w:rsidRPr="00003FB8">
        <w:rPr>
          <w:rFonts w:ascii="IBM Plex Sans" w:hAnsi="IBM Plex Sans" w:cstheme="minorHAnsi"/>
          <w:b/>
          <w:bCs/>
          <w:sz w:val="22"/>
          <w:szCs w:val="22"/>
        </w:rPr>
        <w:t>L1152-2]</w:t>
      </w:r>
      <w:r w:rsidR="001D5951" w:rsidRPr="00003FB8">
        <w:rPr>
          <w:rFonts w:ascii="IBM Plex Sans" w:hAnsi="IBM Plex Sans" w:cstheme="minorHAnsi"/>
          <w:sz w:val="22"/>
          <w:szCs w:val="22"/>
        </w:rPr>
        <w:t xml:space="preserve"> </w:t>
      </w:r>
      <w:r w:rsidRPr="00003FB8">
        <w:rPr>
          <w:rFonts w:ascii="IBM Plex Sans" w:hAnsi="IBM Plex Sans" w:cs="Arial"/>
          <w:b/>
          <w:bCs/>
          <w:color w:val="000000"/>
          <w:sz w:val="22"/>
          <w:szCs w:val="22"/>
        </w:rPr>
        <w:t>:</w:t>
      </w:r>
      <w:r w:rsidRPr="00003FB8">
        <w:rPr>
          <w:rFonts w:ascii="IBM Plex Sans" w:hAnsi="IBM Plex Sans" w:cs="Arial"/>
          <w:color w:val="000000"/>
          <w:sz w:val="22"/>
          <w:szCs w:val="22"/>
        </w:rPr>
        <w:t xml:space="preserve"> </w:t>
      </w:r>
      <w:r w:rsidRPr="00412344">
        <w:rPr>
          <w:rFonts w:ascii="IBM Plex Sans" w:hAnsi="IBM Plex Sans" w:cs="Arial"/>
          <w:i/>
          <w:iCs/>
          <w:color w:val="000000"/>
          <w:sz w:val="22"/>
          <w:szCs w:val="22"/>
        </w:rPr>
        <w:t>Nul ne doit subir d'agissement sexiste, défini comme tout agissement lié au sexe d'une personne, ayant pour objet ou pour effet de porter atteinte à sa dignité ou de créer un environnement intimidant, hostile, dégradant, humiliant ou offensant</w:t>
      </w:r>
      <w:r w:rsidRPr="00412344">
        <w:rPr>
          <w:rFonts w:ascii="IBM Plex Sans" w:hAnsi="IBM Plex Sans" w:cstheme="minorHAnsi"/>
          <w:i/>
          <w:iCs/>
          <w:sz w:val="22"/>
          <w:szCs w:val="22"/>
        </w:rPr>
        <w:t>.</w:t>
      </w:r>
    </w:p>
    <w:p w14:paraId="2DC15A3E" w14:textId="5E6B64F2" w:rsidR="004B1BB8" w:rsidRDefault="004B1BB8" w:rsidP="006F00D9">
      <w:pPr>
        <w:pStyle w:val="NormalWeb"/>
        <w:spacing w:after="0" w:afterAutospacing="0"/>
        <w:rPr>
          <w:rFonts w:ascii="IBM Plex Sans" w:eastAsia="Times New Roman" w:hAnsi="IBM Plex Sans" w:cs="Times New Roman"/>
          <w:i/>
          <w:iCs/>
        </w:rPr>
      </w:pPr>
      <w:r w:rsidRPr="00003FB8">
        <w:rPr>
          <w:rFonts w:ascii="IBM Plex Sans" w:hAnsi="IBM Plex Sans" w:cs="Arial"/>
          <w:b/>
          <w:bCs/>
          <w:color w:val="000000"/>
        </w:rPr>
        <w:t>Code pénal</w:t>
      </w:r>
      <w:r w:rsidR="001D5951" w:rsidRPr="00003FB8">
        <w:rPr>
          <w:rFonts w:ascii="IBM Plex Sans" w:eastAsia="Times New Roman" w:hAnsi="IBM Plex Sans" w:cs="Times New Roman"/>
        </w:rPr>
        <w:t xml:space="preserve"> </w:t>
      </w:r>
      <w:r w:rsidR="001D5951" w:rsidRPr="00003FB8">
        <w:rPr>
          <w:rFonts w:ascii="IBM Plex Sans" w:eastAsia="Times New Roman" w:hAnsi="IBM Plex Sans" w:cs="Times New Roman"/>
          <w:b/>
          <w:bCs/>
        </w:rPr>
        <w:t>[art. 222-22]</w:t>
      </w:r>
      <w:r w:rsidRPr="00003FB8">
        <w:rPr>
          <w:rFonts w:ascii="IBM Plex Sans" w:hAnsi="IBM Plex Sans" w:cs="Arial"/>
          <w:b/>
          <w:bCs/>
          <w:color w:val="000000"/>
        </w:rPr>
        <w:t xml:space="preserve"> : </w:t>
      </w:r>
      <w:r w:rsidRPr="00412344">
        <w:rPr>
          <w:rFonts w:ascii="IBM Plex Sans" w:eastAsia="Times New Roman" w:hAnsi="IBM Plex Sans" w:cs="Times New Roman"/>
          <w:i/>
          <w:iCs/>
        </w:rPr>
        <w:t>Constitue une agression sexuelle, toute atteinte sexuelle commise avec violence, contrainte, menace ou surprise</w:t>
      </w:r>
      <w:r w:rsidR="00003FB8" w:rsidRPr="00412344">
        <w:rPr>
          <w:rFonts w:ascii="IBM Plex Sans" w:eastAsia="Times New Roman" w:hAnsi="IBM Plex Sans" w:cs="Times New Roman"/>
          <w:i/>
          <w:iCs/>
        </w:rPr>
        <w:t>.</w:t>
      </w:r>
    </w:p>
    <w:p w14:paraId="590C7666" w14:textId="6DBE22CE" w:rsidR="006F00D9" w:rsidRDefault="006F00D9" w:rsidP="006F00D9">
      <w:pPr>
        <w:pStyle w:val="NormalWeb"/>
        <w:spacing w:after="0" w:afterAutospacing="0"/>
        <w:rPr>
          <w:rFonts w:ascii="IBM Plex Sans" w:eastAsia="Times New Roman" w:hAnsi="IBM Plex Sans" w:cs="Times New Roman"/>
          <w:i/>
          <w:iCs/>
        </w:rPr>
      </w:pPr>
    </w:p>
    <w:p w14:paraId="324A2496" w14:textId="616A49C2" w:rsidR="006F00D9" w:rsidRDefault="006F00D9" w:rsidP="006F00D9">
      <w:pPr>
        <w:pStyle w:val="NormalWeb"/>
        <w:spacing w:after="0" w:afterAutospacing="0"/>
        <w:rPr>
          <w:rFonts w:ascii="IBM Plex Sans" w:eastAsia="Times New Roman" w:hAnsi="IBM Plex Sans" w:cs="Times New Roman"/>
          <w:i/>
          <w:iCs/>
        </w:rPr>
      </w:pPr>
    </w:p>
    <w:p w14:paraId="459C8B51" w14:textId="77777777" w:rsidR="006F00D9" w:rsidRPr="00412344" w:rsidRDefault="006F00D9" w:rsidP="006F00D9">
      <w:pPr>
        <w:pStyle w:val="NormalWeb"/>
        <w:spacing w:after="0" w:afterAutospacing="0"/>
        <w:rPr>
          <w:rFonts w:ascii="IBM Plex Sans" w:eastAsia="Times New Roman" w:hAnsi="IBM Plex Sans" w:cs="Times New Roman"/>
          <w:i/>
          <w:iCs/>
        </w:rPr>
      </w:pPr>
    </w:p>
    <w:p w14:paraId="6DAFB95D" w14:textId="4876E409" w:rsidR="004B1BB8" w:rsidRPr="00003FB8" w:rsidRDefault="006F00D9" w:rsidP="006F00D9">
      <w:pPr>
        <w:jc w:val="both"/>
        <w:rPr>
          <w:rFonts w:ascii="IBM Plex Sans" w:hAnsi="IBM Plex Sans" w:cs="Arial"/>
          <w:b/>
          <w:bCs/>
          <w:color w:val="000000"/>
          <w:sz w:val="28"/>
          <w:szCs w:val="28"/>
        </w:rPr>
      </w:pPr>
      <w:r>
        <w:rPr>
          <w:rFonts w:ascii="IBM Plex Sans" w:hAnsi="IBM Plex Sans" w:cs="Arial"/>
          <w:b/>
          <w:bCs/>
          <w:color w:val="000000"/>
          <w:sz w:val="28"/>
          <w:szCs w:val="28"/>
        </w:rPr>
        <w:t xml:space="preserve">DE </w:t>
      </w:r>
      <w:r w:rsidR="004B1BB8" w:rsidRPr="00003FB8">
        <w:rPr>
          <w:rFonts w:ascii="IBM Plex Sans" w:hAnsi="IBM Plex Sans" w:cs="Arial"/>
          <w:b/>
          <w:bCs/>
          <w:color w:val="000000"/>
          <w:sz w:val="28"/>
          <w:szCs w:val="28"/>
        </w:rPr>
        <w:t xml:space="preserve">QUELLES PEINES </w:t>
      </w:r>
      <w:r>
        <w:rPr>
          <w:rFonts w:ascii="IBM Plex Sans" w:hAnsi="IBM Plex Sans" w:cs="Arial"/>
          <w:b/>
          <w:bCs/>
          <w:color w:val="000000"/>
          <w:sz w:val="28"/>
          <w:szCs w:val="28"/>
        </w:rPr>
        <w:t>SONT ASSORTIES</w:t>
      </w:r>
      <w:r w:rsidR="004B1BB8" w:rsidRPr="00003FB8">
        <w:rPr>
          <w:rFonts w:ascii="IBM Plex Sans" w:hAnsi="IBM Plex Sans" w:cs="Arial"/>
          <w:b/>
          <w:bCs/>
          <w:color w:val="000000"/>
          <w:sz w:val="28"/>
          <w:szCs w:val="28"/>
        </w:rPr>
        <w:t xml:space="preserve"> CES </w:t>
      </w:r>
      <w:r>
        <w:rPr>
          <w:rFonts w:ascii="IBM Plex Sans" w:hAnsi="IBM Plex Sans" w:cs="Arial"/>
          <w:b/>
          <w:bCs/>
          <w:color w:val="000000"/>
          <w:sz w:val="28"/>
          <w:szCs w:val="28"/>
        </w:rPr>
        <w:t>INFRACTION</w:t>
      </w:r>
      <w:r w:rsidR="004B1BB8" w:rsidRPr="00003FB8">
        <w:rPr>
          <w:rFonts w:ascii="IBM Plex Sans" w:hAnsi="IBM Plex Sans" w:cs="Arial"/>
          <w:b/>
          <w:bCs/>
          <w:color w:val="000000"/>
          <w:sz w:val="28"/>
          <w:szCs w:val="28"/>
        </w:rPr>
        <w:t>S</w:t>
      </w:r>
      <w:r>
        <w:rPr>
          <w:rFonts w:ascii="IBM Plex Sans" w:hAnsi="IBM Plex Sans" w:cs="Arial"/>
          <w:b/>
          <w:bCs/>
          <w:color w:val="000000"/>
          <w:sz w:val="28"/>
          <w:szCs w:val="28"/>
        </w:rPr>
        <w:t xml:space="preserve"> PÉNALES</w:t>
      </w:r>
      <w:r w:rsidR="004B1BB8" w:rsidRPr="00003FB8">
        <w:rPr>
          <w:rFonts w:ascii="IBM Plex Sans" w:hAnsi="IBM Plex Sans" w:cs="Arial"/>
          <w:b/>
          <w:bCs/>
          <w:color w:val="000000"/>
          <w:sz w:val="28"/>
          <w:szCs w:val="28"/>
        </w:rPr>
        <w:t> ?</w:t>
      </w:r>
    </w:p>
    <w:p w14:paraId="09671183" w14:textId="48896900" w:rsidR="004B1BB8" w:rsidRDefault="004B1BB8" w:rsidP="006F00D9">
      <w:pPr>
        <w:pStyle w:val="NormalWeb"/>
        <w:spacing w:after="0" w:afterAutospacing="0"/>
        <w:jc w:val="both"/>
        <w:rPr>
          <w:rFonts w:ascii="IBM Plex Sans" w:hAnsi="IBM Plex Sans" w:cstheme="minorHAnsi"/>
        </w:rPr>
      </w:pPr>
      <w:r w:rsidRPr="00003FB8">
        <w:rPr>
          <w:rFonts w:ascii="IBM Plex Sans" w:hAnsi="IBM Plex Sans" w:cstheme="minorHAnsi"/>
        </w:rPr>
        <w:t>L’agissement sexiste, l’outrage sexiste, le voyeurisme, le harcèlement notamment commis par le biais de services de communication en ligne, le harcèlement sexuel, l’agression sexuelle, le viol et l’infraction de non-dénonciation d’un crime font l’objet de sanctions civiles et/ou pénales.</w:t>
      </w:r>
    </w:p>
    <w:p w14:paraId="1394A84F" w14:textId="4E2702C4" w:rsidR="00003FB8" w:rsidRDefault="00003FB8" w:rsidP="006F00D9">
      <w:pPr>
        <w:pStyle w:val="NormalWeb"/>
        <w:spacing w:after="0" w:afterAutospacing="0"/>
        <w:jc w:val="both"/>
        <w:rPr>
          <w:rFonts w:ascii="IBM Plex Sans" w:hAnsi="IBM Plex Sans" w:cstheme="minorHAnsi"/>
        </w:rPr>
      </w:pPr>
      <w:r>
        <w:rPr>
          <w:rFonts w:ascii="IBM Plex Sans" w:hAnsi="IBM Plex Sans" w:cstheme="minorHAnsi"/>
        </w:rPr>
        <w:t>To</w:t>
      </w:r>
      <w:r w:rsidRPr="001D5951">
        <w:rPr>
          <w:rFonts w:ascii="IBM Plex Sans" w:hAnsi="IBM Plex Sans" w:cstheme="minorHAnsi"/>
        </w:rPr>
        <w:t>ut manquement à ces règles</w:t>
      </w:r>
      <w:r>
        <w:rPr>
          <w:rFonts w:ascii="IBM Plex Sans" w:hAnsi="IBM Plex Sans" w:cstheme="minorHAnsi"/>
        </w:rPr>
        <w:t xml:space="preserve"> au sein du lieu de travail</w:t>
      </w:r>
      <w:r w:rsidRPr="001D5951">
        <w:rPr>
          <w:rFonts w:ascii="IBM Plex Sans" w:hAnsi="IBM Plex Sans" w:cstheme="minorHAnsi"/>
        </w:rPr>
        <w:t xml:space="preserve"> peut justifier une sanction disciplinaire pouvant aller jusqu’à la rupture du contrat de travail</w:t>
      </w:r>
      <w:r>
        <w:rPr>
          <w:rFonts w:ascii="IBM Plex Sans" w:hAnsi="IBM Plex Sans" w:cstheme="minorHAnsi"/>
        </w:rPr>
        <w:t>.</w:t>
      </w:r>
    </w:p>
    <w:p w14:paraId="49A1FFA1" w14:textId="77777777" w:rsidR="006F00D9" w:rsidRPr="00003FB8" w:rsidRDefault="006F00D9" w:rsidP="006F00D9">
      <w:pPr>
        <w:pStyle w:val="NormalWeb"/>
        <w:spacing w:after="0" w:afterAutospacing="0"/>
        <w:jc w:val="both"/>
        <w:rPr>
          <w:rFonts w:ascii="IBM Plex Sans" w:hAnsi="IBM Plex Sans" w:cstheme="minorHAnsi"/>
        </w:rPr>
      </w:pPr>
    </w:p>
    <w:p w14:paraId="52177148" w14:textId="4343BAE3" w:rsidR="004B1BB8" w:rsidRPr="00412344" w:rsidRDefault="004B1BB8" w:rsidP="006F00D9">
      <w:pPr>
        <w:jc w:val="both"/>
        <w:rPr>
          <w:rFonts w:ascii="IBM Plex Sans" w:hAnsi="IBM Plex Sans" w:cs="Arial"/>
          <w:b/>
          <w:bCs/>
          <w:i/>
          <w:iCs/>
          <w:color w:val="000000"/>
          <w:sz w:val="22"/>
          <w:szCs w:val="22"/>
        </w:rPr>
      </w:pPr>
      <w:r w:rsidRPr="00003FB8">
        <w:rPr>
          <w:rFonts w:ascii="IBM Plex Sans" w:hAnsi="IBM Plex Sans" w:cs="Arial"/>
          <w:b/>
          <w:bCs/>
          <w:color w:val="000000"/>
          <w:sz w:val="22"/>
          <w:szCs w:val="22"/>
        </w:rPr>
        <w:t>Code du travail</w:t>
      </w:r>
      <w:r w:rsidR="001D5951" w:rsidRPr="00003FB8">
        <w:rPr>
          <w:rFonts w:ascii="IBM Plex Sans" w:hAnsi="IBM Plex Sans" w:cs="Arial"/>
          <w:b/>
          <w:bCs/>
          <w:color w:val="000000"/>
          <w:sz w:val="22"/>
          <w:szCs w:val="22"/>
        </w:rPr>
        <w:t xml:space="preserve"> [</w:t>
      </w:r>
      <w:r w:rsidR="001D5951" w:rsidRPr="00003FB8">
        <w:rPr>
          <w:rFonts w:ascii="IBM Plex Sans" w:hAnsi="IBM Plex Sans" w:cstheme="minorHAnsi"/>
          <w:b/>
          <w:bCs/>
          <w:sz w:val="22"/>
          <w:szCs w:val="22"/>
        </w:rPr>
        <w:t>L1153-6]</w:t>
      </w:r>
      <w:r w:rsidRPr="00003FB8">
        <w:rPr>
          <w:rFonts w:ascii="IBM Plex Sans" w:hAnsi="IBM Plex Sans" w:cs="Arial"/>
          <w:b/>
          <w:bCs/>
          <w:color w:val="000000"/>
          <w:sz w:val="22"/>
          <w:szCs w:val="22"/>
        </w:rPr>
        <w:t xml:space="preserve"> : </w:t>
      </w:r>
      <w:r w:rsidRPr="00412344">
        <w:rPr>
          <w:rFonts w:ascii="IBM Plex Sans" w:hAnsi="IBM Plex Sans" w:cs="Arial"/>
          <w:i/>
          <w:iCs/>
          <w:color w:val="000000"/>
          <w:sz w:val="22"/>
          <w:szCs w:val="22"/>
        </w:rPr>
        <w:t>Tout salarié ayant procédé à des faits de harcèlement sexuel est passible d'une sanction disciplinaire</w:t>
      </w:r>
      <w:r w:rsidRPr="00412344">
        <w:rPr>
          <w:rFonts w:ascii="IBM Plex Sans" w:hAnsi="IBM Plex Sans" w:cstheme="minorHAnsi"/>
          <w:i/>
          <w:iCs/>
          <w:sz w:val="22"/>
          <w:szCs w:val="22"/>
        </w:rPr>
        <w:t>.</w:t>
      </w:r>
    </w:p>
    <w:p w14:paraId="6861B4D1" w14:textId="77777777" w:rsidR="004B1BB8" w:rsidRPr="00003FB8" w:rsidRDefault="004B1BB8" w:rsidP="006F00D9">
      <w:pPr>
        <w:jc w:val="both"/>
        <w:rPr>
          <w:rFonts w:ascii="IBM Plex Sans" w:hAnsi="IBM Plex Sans"/>
          <w:sz w:val="22"/>
          <w:szCs w:val="22"/>
        </w:rPr>
      </w:pPr>
    </w:p>
    <w:p w14:paraId="076291B7" w14:textId="23454977" w:rsidR="004B1BB8" w:rsidRPr="00003FB8" w:rsidRDefault="004B1BB8" w:rsidP="006F00D9">
      <w:pPr>
        <w:jc w:val="both"/>
        <w:rPr>
          <w:rFonts w:ascii="IBM Plex Sans" w:hAnsi="IBM Plex Sans" w:cs="Arial"/>
          <w:b/>
          <w:bCs/>
          <w:color w:val="000000"/>
          <w:sz w:val="22"/>
          <w:szCs w:val="22"/>
        </w:rPr>
      </w:pPr>
      <w:r w:rsidRPr="00003FB8">
        <w:rPr>
          <w:rFonts w:ascii="IBM Plex Sans" w:hAnsi="IBM Plex Sans" w:cs="Arial"/>
          <w:b/>
          <w:bCs/>
          <w:color w:val="000000"/>
          <w:sz w:val="22"/>
          <w:szCs w:val="22"/>
        </w:rPr>
        <w:t>Code pénal </w:t>
      </w:r>
      <w:r w:rsidR="00003FB8" w:rsidRPr="00003FB8">
        <w:rPr>
          <w:rFonts w:ascii="IBM Plex Sans" w:hAnsi="IBM Plex Sans" w:cstheme="minorHAnsi"/>
          <w:b/>
          <w:bCs/>
          <w:sz w:val="22"/>
          <w:szCs w:val="22"/>
        </w:rPr>
        <w:t xml:space="preserve">[art. 222-33, suite] </w:t>
      </w:r>
      <w:r w:rsidRPr="00003FB8">
        <w:rPr>
          <w:rFonts w:ascii="IBM Plex Sans" w:hAnsi="IBM Plex Sans" w:cs="Arial"/>
          <w:b/>
          <w:bCs/>
          <w:color w:val="000000"/>
          <w:sz w:val="22"/>
          <w:szCs w:val="22"/>
        </w:rPr>
        <w:t>:</w:t>
      </w:r>
    </w:p>
    <w:p w14:paraId="6B7CE083"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III. - Les faits mentionnés aux I et II sont punis de deux ans d'emprisonnement et de 30 000 € d'amende.</w:t>
      </w:r>
    </w:p>
    <w:p w14:paraId="30BDE2EC"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Ces peines sont portées à trois ans d'emprisonnement et 45 000 € d'amende lorsque les faits sont commis :</w:t>
      </w:r>
    </w:p>
    <w:p w14:paraId="7FB74FC6"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1° Par une personne qui abuse de l'autorité que lui confèrent ses fonctions ;</w:t>
      </w:r>
    </w:p>
    <w:p w14:paraId="367C492E"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2° Sur un mineur de quinze ans ;</w:t>
      </w:r>
    </w:p>
    <w:p w14:paraId="59103311"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3° Sur une personne dont la particulière vulnérabilité, due à son âge, à une maladie, à une infirmité, à une déficience physique ou psychique ou à un état de grossesse, est apparente ou connue de leur auteur ;</w:t>
      </w:r>
    </w:p>
    <w:p w14:paraId="5D83E658"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4° Sur une personne dont la particulière vulnérabilité ou dépendance résultant de la précarité de sa situation économique ou sociale est apparente ou connue de leur auteur ;</w:t>
      </w:r>
    </w:p>
    <w:p w14:paraId="2828AFA3"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5° Par plusieurs personnes agissant en qualité d'auteur ou de complice ;</w:t>
      </w:r>
    </w:p>
    <w:p w14:paraId="3BE6C8BF"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6° Par l'utilisation d'un service de communication au public en ligne ou par le biais d'un support numérique ou électronique ;</w:t>
      </w:r>
    </w:p>
    <w:p w14:paraId="1FB01AA2" w14:textId="77777777" w:rsidR="004B1BB8" w:rsidRPr="00412344"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7° Alors qu'un mineur était présent et y a assisté ;</w:t>
      </w:r>
    </w:p>
    <w:p w14:paraId="6A5F7EE6" w14:textId="66D8A8F0" w:rsidR="002C7D7A" w:rsidRDefault="004B1BB8" w:rsidP="006F00D9">
      <w:pPr>
        <w:jc w:val="both"/>
        <w:rPr>
          <w:rFonts w:ascii="IBM Plex Sans" w:hAnsi="IBM Plex Sans" w:cs="Arial"/>
          <w:i/>
          <w:iCs/>
          <w:color w:val="000000"/>
          <w:sz w:val="22"/>
          <w:szCs w:val="22"/>
        </w:rPr>
      </w:pPr>
      <w:r w:rsidRPr="00412344">
        <w:rPr>
          <w:rFonts w:ascii="IBM Plex Sans" w:hAnsi="IBM Plex Sans" w:cs="Arial"/>
          <w:i/>
          <w:iCs/>
          <w:color w:val="000000"/>
          <w:sz w:val="22"/>
          <w:szCs w:val="22"/>
        </w:rPr>
        <w:t>8° Par un ascendant ou par toute autre personne ayant sur la victime une autorité de droit ou de fait.</w:t>
      </w:r>
    </w:p>
    <w:p w14:paraId="20D5FD25" w14:textId="21997539" w:rsidR="006F00D9" w:rsidRDefault="006F00D9" w:rsidP="006F00D9">
      <w:pPr>
        <w:jc w:val="both"/>
        <w:rPr>
          <w:rFonts w:ascii="IBM Plex Sans" w:hAnsi="IBM Plex Sans" w:cs="Arial"/>
          <w:i/>
          <w:iCs/>
          <w:color w:val="000000"/>
          <w:sz w:val="22"/>
          <w:szCs w:val="22"/>
        </w:rPr>
      </w:pPr>
    </w:p>
    <w:p w14:paraId="1732DA89" w14:textId="77777777" w:rsidR="006F00D9" w:rsidRPr="00412344" w:rsidRDefault="006F00D9" w:rsidP="006F00D9">
      <w:pPr>
        <w:jc w:val="both"/>
        <w:rPr>
          <w:rFonts w:ascii="IBM Plex Sans" w:hAnsi="IBM Plex Sans" w:cs="Arial"/>
          <w:i/>
          <w:iCs/>
          <w:color w:val="000000"/>
          <w:sz w:val="22"/>
          <w:szCs w:val="22"/>
        </w:rPr>
      </w:pPr>
    </w:p>
    <w:tbl>
      <w:tblPr>
        <w:tblStyle w:val="Grilledutableau"/>
        <w:tblW w:w="0" w:type="auto"/>
        <w:tblLook w:val="04A0" w:firstRow="1" w:lastRow="0" w:firstColumn="1" w:lastColumn="0" w:noHBand="0" w:noVBand="1"/>
      </w:tblPr>
      <w:tblGrid>
        <w:gridCol w:w="5841"/>
        <w:gridCol w:w="3221"/>
      </w:tblGrid>
      <w:tr w:rsidR="004B1BB8" w:rsidRPr="00003FB8" w14:paraId="1D657778" w14:textId="77777777" w:rsidTr="00B832AB">
        <w:trPr>
          <w:trHeight w:val="585"/>
        </w:trPr>
        <w:tc>
          <w:tcPr>
            <w:tcW w:w="10060" w:type="dxa"/>
            <w:gridSpan w:val="2"/>
            <w:vAlign w:val="center"/>
          </w:tcPr>
          <w:p w14:paraId="646F5039" w14:textId="33EC0672" w:rsidR="004B1BB8" w:rsidRPr="00003FB8" w:rsidRDefault="004B1BB8" w:rsidP="006F00D9">
            <w:pPr>
              <w:jc w:val="center"/>
              <w:rPr>
                <w:rFonts w:ascii="IBM Plex Sans" w:hAnsi="IBM Plex Sans"/>
                <w:b/>
                <w:bCs/>
                <w:sz w:val="22"/>
                <w:szCs w:val="22"/>
              </w:rPr>
            </w:pPr>
            <w:r w:rsidRPr="00003FB8">
              <w:rPr>
                <w:rFonts w:ascii="IBM Plex Sans" w:hAnsi="IBM Plex Sans"/>
                <w:b/>
                <w:bCs/>
                <w:sz w:val="22"/>
                <w:szCs w:val="22"/>
              </w:rPr>
              <w:t>SI VOUS ETES VICTIME OU T</w:t>
            </w:r>
            <w:r w:rsidR="001D5951" w:rsidRPr="00003FB8">
              <w:rPr>
                <w:rFonts w:ascii="IBM Plex Sans" w:hAnsi="IBM Plex Sans"/>
                <w:b/>
                <w:bCs/>
                <w:sz w:val="22"/>
                <w:szCs w:val="22"/>
              </w:rPr>
              <w:t>É</w:t>
            </w:r>
            <w:r w:rsidRPr="00003FB8">
              <w:rPr>
                <w:rFonts w:ascii="IBM Plex Sans" w:hAnsi="IBM Plex Sans"/>
                <w:b/>
                <w:bCs/>
                <w:sz w:val="22"/>
                <w:szCs w:val="22"/>
              </w:rPr>
              <w:t>MOIN</w:t>
            </w:r>
            <w:r w:rsidR="001D5951" w:rsidRPr="00003FB8">
              <w:rPr>
                <w:rFonts w:ascii="IBM Plex Sans" w:hAnsi="IBM Plex Sans"/>
                <w:b/>
                <w:bCs/>
                <w:sz w:val="22"/>
                <w:szCs w:val="22"/>
              </w:rPr>
              <w:t xml:space="preserve"> DE VHSS</w:t>
            </w:r>
            <w:r w:rsidRPr="00003FB8">
              <w:rPr>
                <w:rFonts w:ascii="IBM Plex Sans" w:hAnsi="IBM Plex Sans"/>
                <w:b/>
                <w:bCs/>
                <w:sz w:val="22"/>
                <w:szCs w:val="22"/>
              </w:rPr>
              <w:t>, VOUS POUVEZ CONTACTER :</w:t>
            </w:r>
          </w:p>
        </w:tc>
      </w:tr>
      <w:tr w:rsidR="004B1BB8" w:rsidRPr="00003FB8" w14:paraId="4C3A1A3E" w14:textId="77777777" w:rsidTr="00B832AB">
        <w:tc>
          <w:tcPr>
            <w:tcW w:w="6658" w:type="dxa"/>
            <w:shd w:val="clear" w:color="auto" w:fill="E7E6E6" w:themeFill="background2"/>
            <w:vAlign w:val="center"/>
          </w:tcPr>
          <w:p w14:paraId="58A50B7C"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Cellule d’écoute dans le spectacle vivant et enregistré</w:t>
            </w:r>
          </w:p>
        </w:tc>
        <w:tc>
          <w:tcPr>
            <w:tcW w:w="3402" w:type="dxa"/>
            <w:shd w:val="clear" w:color="auto" w:fill="E7E6E6" w:themeFill="background2"/>
            <w:vAlign w:val="center"/>
          </w:tcPr>
          <w:p w14:paraId="1308BD7E" w14:textId="4F31E5BE" w:rsidR="002C7D7A" w:rsidRPr="002C7D7A" w:rsidRDefault="00000000" w:rsidP="006F00D9">
            <w:pPr>
              <w:jc w:val="center"/>
              <w:rPr>
                <w:rFonts w:ascii="IBM Plex Sans" w:hAnsi="IBM Plex Sans"/>
                <w:sz w:val="22"/>
                <w:szCs w:val="22"/>
              </w:rPr>
            </w:pPr>
            <w:hyperlink r:id="rId4" w:history="1">
              <w:r w:rsidR="002C7D7A" w:rsidRPr="002C7D7A">
                <w:rPr>
                  <w:rFonts w:ascii="IBM Plex Sans" w:hAnsi="IBM Plex Sans"/>
                  <w:sz w:val="22"/>
                  <w:szCs w:val="22"/>
                </w:rPr>
                <w:t>violences-sexuelles-culture@audiens.org</w:t>
              </w:r>
            </w:hyperlink>
          </w:p>
          <w:p w14:paraId="4EB68C88" w14:textId="099ACF20"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01 87 20 30 90</w:t>
            </w:r>
          </w:p>
        </w:tc>
      </w:tr>
      <w:tr w:rsidR="004B1BB8" w:rsidRPr="00003FB8" w14:paraId="56527004" w14:textId="77777777" w:rsidTr="00B832AB">
        <w:tc>
          <w:tcPr>
            <w:tcW w:w="6658" w:type="dxa"/>
            <w:vAlign w:val="center"/>
          </w:tcPr>
          <w:p w14:paraId="6C0D9862"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Coordonnées de la personne référente</w:t>
            </w:r>
          </w:p>
        </w:tc>
        <w:tc>
          <w:tcPr>
            <w:tcW w:w="3402" w:type="dxa"/>
            <w:vAlign w:val="center"/>
          </w:tcPr>
          <w:p w14:paraId="609BDBF7"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w:t>
            </w:r>
          </w:p>
        </w:tc>
      </w:tr>
      <w:tr w:rsidR="004B1BB8" w:rsidRPr="00003FB8" w14:paraId="56A7D3C7" w14:textId="77777777" w:rsidTr="00B832AB">
        <w:tc>
          <w:tcPr>
            <w:tcW w:w="6658" w:type="dxa"/>
            <w:shd w:val="clear" w:color="auto" w:fill="E7E6E6" w:themeFill="background2"/>
            <w:vAlign w:val="center"/>
          </w:tcPr>
          <w:p w14:paraId="33A028C3" w14:textId="77E8DEEF"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Délégués du CSE</w:t>
            </w:r>
          </w:p>
        </w:tc>
        <w:tc>
          <w:tcPr>
            <w:tcW w:w="3402" w:type="dxa"/>
            <w:shd w:val="clear" w:color="auto" w:fill="E7E6E6" w:themeFill="background2"/>
            <w:vAlign w:val="center"/>
          </w:tcPr>
          <w:p w14:paraId="22489C7B"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w:t>
            </w:r>
          </w:p>
        </w:tc>
      </w:tr>
      <w:tr w:rsidR="004B1BB8" w:rsidRPr="00003FB8" w14:paraId="6FAAC99B" w14:textId="77777777" w:rsidTr="00B832AB">
        <w:tc>
          <w:tcPr>
            <w:tcW w:w="6658" w:type="dxa"/>
            <w:vAlign w:val="center"/>
          </w:tcPr>
          <w:p w14:paraId="7F7462DD" w14:textId="246C4AE5"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Délégués syndicaux</w:t>
            </w:r>
          </w:p>
        </w:tc>
        <w:tc>
          <w:tcPr>
            <w:tcW w:w="3402" w:type="dxa"/>
            <w:vAlign w:val="center"/>
          </w:tcPr>
          <w:p w14:paraId="2F01B5DE"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w:t>
            </w:r>
          </w:p>
        </w:tc>
      </w:tr>
      <w:tr w:rsidR="004B1BB8" w:rsidRPr="00003FB8" w14:paraId="501E8593" w14:textId="77777777" w:rsidTr="00B832AB">
        <w:tc>
          <w:tcPr>
            <w:tcW w:w="6658" w:type="dxa"/>
            <w:shd w:val="clear" w:color="auto" w:fill="E7E6E6" w:themeFill="background2"/>
            <w:vAlign w:val="center"/>
          </w:tcPr>
          <w:p w14:paraId="060535D9"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Médecine du travail : Thalie Santé (ex-CMB)</w:t>
            </w:r>
          </w:p>
        </w:tc>
        <w:tc>
          <w:tcPr>
            <w:tcW w:w="3402" w:type="dxa"/>
            <w:shd w:val="clear" w:color="auto" w:fill="E7E6E6" w:themeFill="background2"/>
            <w:vAlign w:val="center"/>
          </w:tcPr>
          <w:p w14:paraId="10EF8719" w14:textId="77777777" w:rsidR="004B1BB8" w:rsidRPr="00003FB8" w:rsidRDefault="00000000" w:rsidP="006F00D9">
            <w:pPr>
              <w:jc w:val="center"/>
              <w:rPr>
                <w:rFonts w:ascii="IBM Plex Sans" w:hAnsi="IBM Plex Sans"/>
                <w:sz w:val="22"/>
                <w:szCs w:val="22"/>
              </w:rPr>
            </w:pPr>
            <w:hyperlink r:id="rId5" w:history="1">
              <w:r w:rsidR="004B1BB8" w:rsidRPr="00003FB8">
                <w:rPr>
                  <w:rStyle w:val="Lienhypertexte"/>
                  <w:rFonts w:ascii="IBM Plex Sans" w:hAnsi="IBM Plex Sans" w:cs="Arial"/>
                  <w:color w:val="660099"/>
                  <w:sz w:val="22"/>
                  <w:szCs w:val="22"/>
                </w:rPr>
                <w:t>01 49 27 60 00</w:t>
              </w:r>
            </w:hyperlink>
          </w:p>
        </w:tc>
      </w:tr>
      <w:tr w:rsidR="004B1BB8" w:rsidRPr="00003FB8" w14:paraId="4A9FED17" w14:textId="77777777" w:rsidTr="00B832AB">
        <w:tc>
          <w:tcPr>
            <w:tcW w:w="6658" w:type="dxa"/>
            <w:vAlign w:val="center"/>
          </w:tcPr>
          <w:p w14:paraId="3DF73AC9"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Inspection du travail</w:t>
            </w:r>
          </w:p>
        </w:tc>
        <w:tc>
          <w:tcPr>
            <w:tcW w:w="3402" w:type="dxa"/>
            <w:vAlign w:val="center"/>
          </w:tcPr>
          <w:p w14:paraId="5096F774"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w:t>
            </w:r>
          </w:p>
        </w:tc>
      </w:tr>
      <w:tr w:rsidR="004B1BB8" w:rsidRPr="00003FB8" w14:paraId="65C8CBCF" w14:textId="77777777" w:rsidTr="00B832AB">
        <w:trPr>
          <w:trHeight w:val="263"/>
        </w:trPr>
        <w:tc>
          <w:tcPr>
            <w:tcW w:w="6658" w:type="dxa"/>
            <w:shd w:val="clear" w:color="auto" w:fill="E7E6E6" w:themeFill="background2"/>
            <w:vAlign w:val="center"/>
          </w:tcPr>
          <w:p w14:paraId="74575DEC" w14:textId="77777777" w:rsidR="004B1BB8" w:rsidRPr="00003FB8" w:rsidRDefault="004B1BB8" w:rsidP="006F00D9">
            <w:pPr>
              <w:jc w:val="center"/>
              <w:rPr>
                <w:rFonts w:ascii="IBM Plex Sans" w:hAnsi="IBM Plex Sans"/>
                <w:sz w:val="22"/>
                <w:szCs w:val="22"/>
              </w:rPr>
            </w:pPr>
            <w:r w:rsidRPr="00003FB8">
              <w:rPr>
                <w:rFonts w:ascii="IBM Plex Sans" w:hAnsi="IBM Plex Sans"/>
                <w:sz w:val="22"/>
                <w:szCs w:val="22"/>
              </w:rPr>
              <w:t>Défenseur des droits</w:t>
            </w:r>
          </w:p>
        </w:tc>
        <w:tc>
          <w:tcPr>
            <w:tcW w:w="3402" w:type="dxa"/>
            <w:shd w:val="clear" w:color="auto" w:fill="E7E6E6" w:themeFill="background2"/>
            <w:vAlign w:val="center"/>
          </w:tcPr>
          <w:p w14:paraId="56BB2D61" w14:textId="77777777" w:rsidR="004B1BB8" w:rsidRPr="00003FB8" w:rsidRDefault="004B1BB8" w:rsidP="006F00D9">
            <w:pPr>
              <w:jc w:val="center"/>
              <w:rPr>
                <w:rFonts w:ascii="IBM Plex Sans" w:hAnsi="IBM Plex Sans"/>
                <w:color w:val="111111"/>
                <w:sz w:val="22"/>
                <w:szCs w:val="22"/>
                <w:shd w:val="clear" w:color="auto" w:fill="FFFFFF"/>
              </w:rPr>
            </w:pPr>
            <w:r w:rsidRPr="00003FB8">
              <w:rPr>
                <w:rFonts w:ascii="IBM Plex Sans" w:hAnsi="IBM Plex Sans"/>
                <w:sz w:val="22"/>
                <w:szCs w:val="22"/>
              </w:rPr>
              <w:t>09 69 39 00 00</w:t>
            </w:r>
          </w:p>
        </w:tc>
      </w:tr>
    </w:tbl>
    <w:p w14:paraId="2A17BE12" w14:textId="77777777" w:rsidR="00894FC2" w:rsidRPr="00003FB8" w:rsidRDefault="00894FC2" w:rsidP="006F00D9">
      <w:pPr>
        <w:rPr>
          <w:rFonts w:ascii="IBM Plex Sans" w:hAnsi="IBM Plex Sans"/>
        </w:rPr>
      </w:pPr>
    </w:p>
    <w:sectPr w:rsidR="00894FC2" w:rsidRPr="00003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panose1 w:val="020B0503050203000203"/>
    <w:charset w:val="00"/>
    <w:family w:val="swiss"/>
    <w:notTrueType/>
    <w:pitch w:val="variable"/>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B8"/>
    <w:rsid w:val="00003FB8"/>
    <w:rsid w:val="00113237"/>
    <w:rsid w:val="001D5951"/>
    <w:rsid w:val="002C7D7A"/>
    <w:rsid w:val="003D5DBB"/>
    <w:rsid w:val="00412344"/>
    <w:rsid w:val="004610CD"/>
    <w:rsid w:val="004B1BB8"/>
    <w:rsid w:val="00564620"/>
    <w:rsid w:val="006F00D9"/>
    <w:rsid w:val="00894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07A1"/>
  <w15:chartTrackingRefBased/>
  <w15:docId w15:val="{A4402477-F207-FF4F-A383-DF741DBC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B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1BB8"/>
    <w:pPr>
      <w:spacing w:before="100" w:beforeAutospacing="1" w:after="100" w:afterAutospacing="1"/>
    </w:pPr>
    <w:rPr>
      <w:rFonts w:ascii="Calibri" w:eastAsiaTheme="minorHAnsi" w:hAnsi="Calibri" w:cs="Calibri"/>
      <w:sz w:val="22"/>
      <w:szCs w:val="22"/>
    </w:rPr>
  </w:style>
  <w:style w:type="table" w:styleId="Grilledutableau">
    <w:name w:val="Table Grid"/>
    <w:basedOn w:val="TableauNormal"/>
    <w:uiPriority w:val="39"/>
    <w:rsid w:val="004B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B1BB8"/>
    <w:rPr>
      <w:color w:val="0000FF"/>
      <w:u w:val="single"/>
    </w:rPr>
  </w:style>
  <w:style w:type="character" w:customStyle="1" w:styleId="apple-converted-space">
    <w:name w:val="apple-converted-space"/>
    <w:basedOn w:val="Policepardfaut"/>
    <w:rsid w:val="001D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29524">
      <w:bodyDiv w:val="1"/>
      <w:marLeft w:val="0"/>
      <w:marRight w:val="0"/>
      <w:marTop w:val="0"/>
      <w:marBottom w:val="0"/>
      <w:divBdr>
        <w:top w:val="none" w:sz="0" w:space="0" w:color="auto"/>
        <w:left w:val="none" w:sz="0" w:space="0" w:color="auto"/>
        <w:bottom w:val="none" w:sz="0" w:space="0" w:color="auto"/>
        <w:right w:val="none" w:sz="0" w:space="0" w:color="auto"/>
      </w:divBdr>
    </w:div>
    <w:div w:id="842092861">
      <w:bodyDiv w:val="1"/>
      <w:marLeft w:val="0"/>
      <w:marRight w:val="0"/>
      <w:marTop w:val="0"/>
      <w:marBottom w:val="0"/>
      <w:divBdr>
        <w:top w:val="none" w:sz="0" w:space="0" w:color="auto"/>
        <w:left w:val="none" w:sz="0" w:space="0" w:color="auto"/>
        <w:bottom w:val="none" w:sz="0" w:space="0" w:color="auto"/>
        <w:right w:val="none" w:sz="0" w:space="0" w:color="auto"/>
      </w:divBdr>
    </w:div>
    <w:div w:id="1182820770">
      <w:bodyDiv w:val="1"/>
      <w:marLeft w:val="0"/>
      <w:marRight w:val="0"/>
      <w:marTop w:val="0"/>
      <w:marBottom w:val="0"/>
      <w:divBdr>
        <w:top w:val="none" w:sz="0" w:space="0" w:color="auto"/>
        <w:left w:val="none" w:sz="0" w:space="0" w:color="auto"/>
        <w:bottom w:val="none" w:sz="0" w:space="0" w:color="auto"/>
        <w:right w:val="none" w:sz="0" w:space="0" w:color="auto"/>
      </w:divBdr>
    </w:div>
    <w:div w:id="20338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client=safari&amp;rls=en&amp;q=coordonn%C3%A9es+de+la+m%C3%A9decine+du+service+de+sant%C3%A9+au+travail+Thalie+Sant%C3%A9+(ex-CMB&amp;ie=UTF-8&amp;oe=UTF-8" TargetMode="External"/><Relationship Id="rId4" Type="http://schemas.openxmlformats.org/officeDocument/2006/relationships/hyperlink" Target="mailto:violences-sexuelles-culture@audien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709</Words>
  <Characters>3902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Foucher</dc:creator>
  <cp:keywords/>
  <dc:description/>
  <cp:lastModifiedBy>Carine Tedesco</cp:lastModifiedBy>
  <cp:revision>6</cp:revision>
  <cp:lastPrinted>2022-06-27T08:25:00Z</cp:lastPrinted>
  <dcterms:created xsi:type="dcterms:W3CDTF">2022-06-27T08:04:00Z</dcterms:created>
  <dcterms:modified xsi:type="dcterms:W3CDTF">2022-09-21T13:09:00Z</dcterms:modified>
</cp:coreProperties>
</file>